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359"/>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359"/>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227330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26" w:lineRule="exact"/>
        <w:rPr>
          <w:sz w:val="24"/>
          <w:szCs w:val="24"/>
          <w:color w:val="auto"/>
        </w:rPr>
      </w:pPr>
    </w:p>
    <w:p>
      <w:pPr>
        <w:jc w:val="center"/>
        <w:ind w:right="-359"/>
        <w:spacing w:after="0"/>
        <w:rPr>
          <w:sz w:val="20"/>
          <w:szCs w:val="20"/>
          <w:color w:val="auto"/>
        </w:rPr>
      </w:pPr>
      <w:r>
        <w:rPr>
          <w:rFonts w:ascii="Arial" w:cs="Arial" w:eastAsia="Arial" w:hAnsi="Arial"/>
          <w:sz w:val="32"/>
          <w:szCs w:val="32"/>
          <w:b w:val="1"/>
          <w:bCs w:val="1"/>
          <w:color w:val="auto"/>
        </w:rPr>
        <w:t>FORM 6-K</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247015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1" w:lineRule="exact"/>
        <w:rPr>
          <w:sz w:val="24"/>
          <w:szCs w:val="24"/>
          <w:color w:val="auto"/>
        </w:rPr>
      </w:pPr>
    </w:p>
    <w:p>
      <w:pPr>
        <w:jc w:val="center"/>
        <w:ind w:right="-339"/>
        <w:spacing w:after="0"/>
        <w:rPr>
          <w:sz w:val="20"/>
          <w:szCs w:val="20"/>
          <w:color w:val="auto"/>
        </w:rPr>
      </w:pPr>
      <w:r>
        <w:rPr>
          <w:rFonts w:ascii="Arial" w:cs="Arial" w:eastAsia="Arial" w:hAnsi="Arial"/>
          <w:sz w:val="22"/>
          <w:szCs w:val="22"/>
          <w:b w:val="1"/>
          <w:bCs w:val="1"/>
          <w:color w:val="auto"/>
        </w:rPr>
        <w:t>REPORT OF FOREIGN PRIVATE ISSUER</w:t>
      </w:r>
    </w:p>
    <w:p>
      <w:pPr>
        <w:spacing w:after="0" w:line="4" w:lineRule="exact"/>
        <w:rPr>
          <w:sz w:val="24"/>
          <w:szCs w:val="24"/>
          <w:color w:val="auto"/>
        </w:rPr>
      </w:pPr>
    </w:p>
    <w:p>
      <w:pPr>
        <w:jc w:val="center"/>
        <w:ind w:right="-359"/>
        <w:spacing w:after="0"/>
        <w:rPr>
          <w:sz w:val="20"/>
          <w:szCs w:val="20"/>
          <w:color w:val="auto"/>
        </w:rPr>
      </w:pPr>
      <w:r>
        <w:rPr>
          <w:rFonts w:ascii="Arial" w:cs="Arial" w:eastAsia="Arial" w:hAnsi="Arial"/>
          <w:sz w:val="22"/>
          <w:szCs w:val="22"/>
          <w:b w:val="1"/>
          <w:bCs w:val="1"/>
          <w:color w:val="auto"/>
        </w:rPr>
        <w:t>PURSUANT TO RULE 13a-16 OR 15d-16</w:t>
      </w:r>
    </w:p>
    <w:p>
      <w:pPr>
        <w:jc w:val="center"/>
        <w:ind w:right="-359"/>
        <w:spacing w:after="0"/>
        <w:rPr>
          <w:sz w:val="20"/>
          <w:szCs w:val="20"/>
          <w:color w:val="auto"/>
        </w:rPr>
      </w:pPr>
      <w:r>
        <w:rPr>
          <w:rFonts w:ascii="Arial" w:cs="Arial" w:eastAsia="Arial" w:hAnsi="Arial"/>
          <w:sz w:val="22"/>
          <w:szCs w:val="22"/>
          <w:b w:val="1"/>
          <w:bCs w:val="1"/>
          <w:color w:val="auto"/>
        </w:rPr>
        <w:t>OF THE SECURITIES EXCHANGE ACT OF 1934</w:t>
      </w:r>
    </w:p>
    <w:p>
      <w:pPr>
        <w:spacing w:after="0" w:line="1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For the month of March 2022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240030</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70"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Commission File Number: 001-38590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248920</wp:posOffset>
            </wp:positionV>
            <wp:extent cx="147447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58" w:lineRule="exact"/>
        <w:rPr>
          <w:sz w:val="24"/>
          <w:szCs w:val="24"/>
          <w:color w:val="auto"/>
        </w:rPr>
      </w:pPr>
    </w:p>
    <w:p>
      <w:pPr>
        <w:jc w:val="center"/>
        <w:ind w:right="-359"/>
        <w:spacing w:after="0"/>
        <w:rPr>
          <w:sz w:val="20"/>
          <w:szCs w:val="20"/>
          <w:color w:val="auto"/>
        </w:rPr>
      </w:pPr>
      <w:r>
        <w:rPr>
          <w:rFonts w:ascii="Arial" w:cs="Arial" w:eastAsia="Arial" w:hAnsi="Arial"/>
          <w:sz w:val="43"/>
          <w:szCs w:val="43"/>
          <w:b w:val="1"/>
          <w:bCs w:val="1"/>
          <w:color w:val="auto"/>
        </w:rPr>
        <w:t>CANGO INC.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253365</wp:posOffset>
            </wp:positionV>
            <wp:extent cx="147447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91"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8F, New Bund Oriental Plaza II</w:t>
      </w:r>
    </w:p>
    <w:p>
      <w:pPr>
        <w:spacing w:after="0" w:line="27"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556 West Haiyang Road, Pudong New Area</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Shanghai 200124</w:t>
      </w:r>
    </w:p>
    <w:p>
      <w:pPr>
        <w:spacing w:after="0" w:line="9" w:lineRule="exact"/>
        <w:rPr>
          <w:sz w:val="24"/>
          <w:szCs w:val="24"/>
          <w:color w:val="auto"/>
        </w:rPr>
      </w:pPr>
    </w:p>
    <w:p>
      <w:pPr>
        <w:jc w:val="center"/>
        <w:ind w:right="-359"/>
        <w:spacing w:after="0"/>
        <w:rPr>
          <w:sz w:val="20"/>
          <w:szCs w:val="20"/>
          <w:color w:val="auto"/>
        </w:rPr>
      </w:pPr>
      <w:r>
        <w:rPr>
          <w:rFonts w:ascii="Arial" w:cs="Arial" w:eastAsia="Arial" w:hAnsi="Arial"/>
          <w:sz w:val="18"/>
          <w:szCs w:val="18"/>
          <w:b w:val="1"/>
          <w:bCs w:val="1"/>
          <w:color w:val="auto"/>
        </w:rPr>
        <w:t>People’s Republic of China</w:t>
      </w:r>
    </w:p>
    <w:p>
      <w:pPr>
        <w:spacing w:after="0" w:line="2" w:lineRule="exact"/>
        <w:rPr>
          <w:sz w:val="24"/>
          <w:szCs w:val="24"/>
          <w:color w:val="auto"/>
        </w:rPr>
      </w:pPr>
    </w:p>
    <w:p>
      <w:pPr>
        <w:jc w:val="center"/>
        <w:ind w:right="-359"/>
        <w:spacing w:after="0"/>
        <w:rPr>
          <w:sz w:val="20"/>
          <w:szCs w:val="20"/>
          <w:color w:val="auto"/>
        </w:rPr>
      </w:pPr>
      <w:r>
        <w:rPr>
          <w:rFonts w:ascii="Arial" w:cs="Arial" w:eastAsia="Arial" w:hAnsi="Arial"/>
          <w:sz w:val="14"/>
          <w:szCs w:val="14"/>
          <w:b w:val="1"/>
          <w:bCs w:val="1"/>
          <w:color w:val="auto"/>
        </w:rPr>
        <w:t>(Address of principal executive offices)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2757805</wp:posOffset>
            </wp:positionH>
            <wp:positionV relativeFrom="paragraph">
              <wp:posOffset>219075</wp:posOffset>
            </wp:positionV>
            <wp:extent cx="147447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40"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Form 20-F or Form 40-F.</w:t>
      </w:r>
    </w:p>
    <w:p>
      <w:pPr>
        <w:spacing w:after="0" w:line="192" w:lineRule="exact"/>
        <w:rPr>
          <w:sz w:val="24"/>
          <w:szCs w:val="24"/>
          <w:color w:val="auto"/>
        </w:rPr>
      </w:pPr>
    </w:p>
    <w:p>
      <w:pPr>
        <w:ind w:left="4180"/>
        <w:spacing w:after="0" w:line="207" w:lineRule="exact"/>
        <w:tabs>
          <w:tab w:leader="none" w:pos="57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Form 40-F </w:t>
      </w:r>
      <w:r>
        <w:rPr>
          <w:rFonts w:ascii="MS PGothic" w:cs="MS PGothic" w:eastAsia="MS PGothic" w:hAnsi="MS PGothic"/>
          <w:sz w:val="17"/>
          <w:szCs w:val="17"/>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101(b)(1): </w:t>
      </w:r>
      <w:r>
        <w:rPr>
          <w:rFonts w:ascii="MS PGothic" w:cs="MS PGothic" w:eastAsia="MS PGothic" w:hAnsi="MS PGothic"/>
          <w:sz w:val="18"/>
          <w:szCs w:val="18"/>
          <w:color w:val="auto"/>
        </w:rPr>
        <w:t>☐</w:t>
      </w:r>
    </w:p>
    <w:p>
      <w:pPr>
        <w:spacing w:after="0" w:line="225" w:lineRule="exact"/>
        <w:rPr>
          <w:sz w:val="24"/>
          <w:szCs w:val="24"/>
          <w:color w:val="auto"/>
        </w:rPr>
      </w:pPr>
    </w:p>
    <w:p>
      <w:pPr>
        <w:spacing w:after="0" w:line="207" w:lineRule="exact"/>
        <w:rPr>
          <w:sz w:val="20"/>
          <w:szCs w:val="20"/>
          <w:color w:val="auto"/>
        </w:rPr>
      </w:pPr>
      <w:r>
        <w:rPr>
          <w:rFonts w:ascii="Arial" w:cs="Arial" w:eastAsia="Arial" w:hAnsi="Arial"/>
          <w:sz w:val="18"/>
          <w:szCs w:val="18"/>
          <w:color w:val="auto"/>
        </w:rPr>
        <w:t xml:space="preserve">Indicate by check mark if the registrant is submitting the Form 6-K in paper as permitted by Regulation S-T Rule 101(b)(7):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by furnishing the information contained in this Form, the registrant is also thereby furnishing the information to the Commission pursuant to Rule 12g3-2(b) under the Securities Exchange Act of 1934.</w:t>
      </w:r>
    </w:p>
    <w:p>
      <w:pPr>
        <w:spacing w:after="0" w:line="138" w:lineRule="exact"/>
        <w:rPr>
          <w:sz w:val="24"/>
          <w:szCs w:val="24"/>
          <w:color w:val="auto"/>
        </w:rPr>
      </w:pPr>
    </w:p>
    <w:p>
      <w:pPr>
        <w:jc w:val="center"/>
        <w:ind w:right="-339"/>
        <w:spacing w:after="0" w:line="207" w:lineRule="exact"/>
        <w:tabs>
          <w:tab w:leader="none" w:pos="5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N/A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-1905</wp:posOffset>
            </wp:positionH>
            <wp:positionV relativeFrom="paragraph">
              <wp:posOffset>160655</wp:posOffset>
            </wp:positionV>
            <wp:extent cx="699516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column">
              <wp:posOffset>-1905</wp:posOffset>
            </wp:positionH>
            <wp:positionV relativeFrom="paragraph">
              <wp:posOffset>203200</wp:posOffset>
            </wp:positionV>
            <wp:extent cx="6995160" cy="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660"/>
          </w:cols>
          <w:pgMar w:left="440" w:top="368" w:right="799" w:bottom="1440" w:gutter="0" w:footer="0" w:header="0"/>
        </w:sectPr>
      </w:pPr>
    </w:p>
    <w:bookmarkStart w:id="1" w:name="page2"/>
    <w:bookmarkEnd w:id="1"/>
    <w:p>
      <w:pPr>
        <w:ind w:left="3600"/>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TABLE OF CONTENTS</w:t>
      </w:r>
    </w:p>
    <w:p>
      <w:pPr>
        <w:spacing w:after="0" w:line="225" w:lineRule="exact"/>
        <w:rPr>
          <w:sz w:val="20"/>
          <w:szCs w:val="20"/>
          <w:color w:val="auto"/>
        </w:rPr>
      </w:pPr>
    </w:p>
    <w:p>
      <w:pPr>
        <w:ind w:left="4460" w:right="2839" w:hanging="5462"/>
        <w:spacing w:after="0" w:line="449" w:lineRule="auto"/>
        <w:rPr>
          <w:rFonts w:ascii="Arial" w:cs="Arial" w:eastAsia="Arial" w:hAnsi="Arial"/>
          <w:sz w:val="18"/>
          <w:szCs w:val="18"/>
          <w:u w:val="single" w:color="auto"/>
          <w:color w:val="0000EE"/>
        </w:rPr>
      </w:pPr>
      <w:hyperlink w:anchor="page4">
        <w:r>
          <w:rPr>
            <w:rFonts w:ascii="Arial" w:cs="Arial" w:eastAsia="Arial" w:hAnsi="Arial"/>
            <w:sz w:val="18"/>
            <w:szCs w:val="18"/>
            <w:u w:val="single" w:color="auto"/>
            <w:color w:val="0000EE"/>
          </w:rPr>
          <w:t>Exhibit 99.1 — Cango Inc. Reports Fourth Quarter and Full Year 2021 Unaudited Financial Results</w:t>
        </w:r>
      </w:hyperlink>
      <w:r>
        <w:rPr>
          <w:rFonts w:ascii="Arial" w:cs="Arial" w:eastAsia="Arial" w:hAnsi="Arial"/>
          <w:sz w:val="18"/>
          <w:szCs w:val="18"/>
          <w:u w:val="single" w:color="auto"/>
          <w:color w:val="0000EE"/>
        </w:rPr>
        <w:t xml:space="preserve"> </w:t>
      </w:r>
      <w:r>
        <w:rPr>
          <w:rFonts w:ascii="Arial" w:cs="Arial" w:eastAsia="Arial" w:hAnsi="Arial"/>
          <w:sz w:val="18"/>
          <w:szCs w:val="18"/>
          <w:color w:val="000000"/>
        </w:rPr>
        <w:t>2</w:t>
      </w:r>
    </w:p>
    <w:p>
      <w:pPr>
        <w:sectPr>
          <w:pgSz w:w="11900" w:h="16838" w:orient="portrait"/>
          <w:cols w:equalWidth="0" w:num="1">
            <w:col w:w="9019"/>
          </w:cols>
          <w:pgMar w:left="1440" w:top="274" w:right="1440" w:bottom="1440" w:gutter="0" w:footer="0" w:header="0"/>
        </w:sectPr>
      </w:pPr>
    </w:p>
    <w:bookmarkStart w:id="2" w:name="page3"/>
    <w:bookmarkEnd w:id="2"/>
    <w:p>
      <w:pPr>
        <w:jc w:val="center"/>
        <w:ind w:right="-19"/>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w:t>
      </w:r>
    </w:p>
    <w:p>
      <w:pPr>
        <w:spacing w:after="0" w:line="229" w:lineRule="exact"/>
        <w:rPr>
          <w:sz w:val="20"/>
          <w:szCs w:val="20"/>
          <w:color w:val="auto"/>
        </w:rPr>
      </w:pPr>
    </w:p>
    <w:p>
      <w:pPr>
        <w:ind w:firstLine="991"/>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97"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CANGO INC.</w:t>
      </w:r>
    </w:p>
    <w:p>
      <w:pPr>
        <w:spacing w:after="0" w:line="225"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Yongyi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2425700" cy="8890"/>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Yongyi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Chief Financial Officer</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March 14, 2022</w:t>
      </w:r>
    </w:p>
    <w:p>
      <w:pPr>
        <w:spacing w:after="0" w:line="15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0" w:right="459" w:bottom="1440" w:gutter="0" w:footer="0" w:header="0"/>
        </w:sectPr>
      </w:pPr>
    </w:p>
    <w:bookmarkStart w:id="3" w:name="page4"/>
    <w:bookmarkEnd w:id="3"/>
    <w:p>
      <w:pPr>
        <w:jc w:val="right"/>
        <w:spacing w:after="0"/>
        <w:rPr>
          <w:sz w:val="20"/>
          <w:szCs w:val="20"/>
          <w:color w:val="auto"/>
        </w:rPr>
      </w:pPr>
      <w:r>
        <w:rPr>
          <w:rFonts w:ascii="Arial" w:cs="Arial" w:eastAsia="Arial" w:hAnsi="Arial"/>
          <w:sz w:val="18"/>
          <w:szCs w:val="18"/>
          <w:b w:val="1"/>
          <w:bCs w:val="1"/>
          <w:color w:val="auto"/>
        </w:rPr>
        <w:t>Exhibit 99.1</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Cango Inc. Reports Fourth Quarter and Full Year 2021 Unaudited Financial Results</w:t>
      </w:r>
    </w:p>
    <w:p>
      <w:pPr>
        <w:spacing w:after="0" w:line="229" w:lineRule="exact"/>
        <w:rPr>
          <w:sz w:val="20"/>
          <w:szCs w:val="20"/>
          <w:color w:val="auto"/>
        </w:rPr>
      </w:pPr>
    </w:p>
    <w:p>
      <w:pPr>
        <w:ind w:right="380"/>
        <w:spacing w:after="0" w:line="277" w:lineRule="auto"/>
        <w:rPr>
          <w:sz w:val="20"/>
          <w:szCs w:val="20"/>
          <w:color w:val="auto"/>
        </w:rPr>
      </w:pPr>
      <w:r>
        <w:rPr>
          <w:rFonts w:ascii="Arial" w:cs="Arial" w:eastAsia="Arial" w:hAnsi="Arial"/>
          <w:sz w:val="18"/>
          <w:szCs w:val="18"/>
          <w:color w:val="auto"/>
        </w:rPr>
        <w:t>SHANGHAI, March 10, 2022 /PRNewswire/ -- Cango Inc. (NYSE: CANG) (“Cango” or the “Company”), a leading automotive transaction service platform in China, today announced its unaudited financial results for the fourth quarter and full year of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Fourth Quarter 2021 Financial and Operational Highlights</w:t>
      </w:r>
    </w:p>
    <w:p>
      <w:pPr>
        <w:spacing w:after="0" w:line="135" w:lineRule="exact"/>
        <w:rPr>
          <w:sz w:val="20"/>
          <w:szCs w:val="20"/>
          <w:color w:val="auto"/>
        </w:rPr>
      </w:pPr>
    </w:p>
    <w:p>
      <w:pPr>
        <w:ind w:left="960" w:right="88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Total revenues were RMB1,050.5 million (US$164.9 million), compared with RMB1,097.4 million in the same period of 2020, outperforming the high end of the Company’s guidance by 5.1%.</w:t>
      </w:r>
    </w:p>
    <w:p>
      <w:pPr>
        <w:spacing w:after="0" w:line="75" w:lineRule="exact"/>
        <w:rPr>
          <w:rFonts w:ascii="Arial" w:cs="Arial" w:eastAsia="Arial" w:hAnsi="Arial"/>
          <w:sz w:val="18"/>
          <w:szCs w:val="18"/>
          <w:color w:val="auto"/>
        </w:rPr>
      </w:pPr>
    </w:p>
    <w:p>
      <w:pPr>
        <w:ind w:left="960" w:right="14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Car trading transactions revenues were RMB703.9 million (US$110.5 million), or 67.0% of total revenues in the fourth quarter of 2021, a 28.7% increase from RMB546.8 million in the same period of 2020.</w:t>
      </w:r>
    </w:p>
    <w:p>
      <w:pPr>
        <w:spacing w:after="0" w:line="75" w:lineRule="exact"/>
        <w:rPr>
          <w:rFonts w:ascii="Arial" w:cs="Arial" w:eastAsia="Arial" w:hAnsi="Arial"/>
          <w:sz w:val="18"/>
          <w:szCs w:val="18"/>
          <w:color w:val="auto"/>
        </w:rPr>
      </w:pPr>
    </w:p>
    <w:p>
      <w:pPr>
        <w:ind w:left="960" w:right="340" w:hanging="424"/>
        <w:spacing w:after="0" w:line="277"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Automotive financing facilitation revenues were RMB252.0 million (US$39.5 million), compared with RMB398.1 million in the same period of 2020.</w:t>
      </w:r>
    </w:p>
    <w:p>
      <w:pPr>
        <w:spacing w:after="0" w:line="75" w:lineRule="exact"/>
        <w:rPr>
          <w:rFonts w:ascii="Arial" w:cs="Arial" w:eastAsia="Arial" w:hAnsi="Arial"/>
          <w:sz w:val="18"/>
          <w:szCs w:val="18"/>
          <w:color w:val="auto"/>
        </w:rPr>
      </w:pPr>
    </w:p>
    <w:p>
      <w:pPr>
        <w:ind w:left="960" w:right="120" w:hanging="424"/>
        <w:spacing w:after="0" w:line="263" w:lineRule="auto"/>
        <w:tabs>
          <w:tab w:leader="none" w:pos="96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amount of financing transactions the Company facilitated in the fourth quarter of 2021 was RMB5,732.8 million (US$899.6 million). The total outstanding balance of financing transactions the Company facilitated was RMB46,702.1 million (US$7,328.6 million) as of December 31, 2021.</w:t>
      </w:r>
    </w:p>
    <w:p>
      <w:pPr>
        <w:spacing w:after="0" w:line="89" w:lineRule="exact"/>
        <w:rPr>
          <w:rFonts w:ascii="Arial" w:cs="Arial" w:eastAsia="Arial" w:hAnsi="Arial"/>
          <w:sz w:val="18"/>
          <w:szCs w:val="18"/>
          <w:color w:val="auto"/>
        </w:rPr>
      </w:pPr>
    </w:p>
    <w:p>
      <w:pPr>
        <w:ind w:left="960" w:right="300" w:hanging="424"/>
        <w:spacing w:after="0" w:line="342" w:lineRule="auto"/>
        <w:tabs>
          <w:tab w:leader="none" w:pos="960" w:val="left"/>
        </w:tabs>
        <w:numPr>
          <w:ilvl w:val="0"/>
          <w:numId w:val="1"/>
        </w:numPr>
        <w:rPr>
          <w:rFonts w:ascii="Arial" w:cs="Arial" w:eastAsia="Arial" w:hAnsi="Arial"/>
          <w:sz w:val="16"/>
          <w:szCs w:val="16"/>
          <w:color w:val="auto"/>
        </w:rPr>
      </w:pPr>
      <w:r>
        <w:rPr>
          <w:rFonts w:ascii="Arial" w:cs="Arial" w:eastAsia="Arial" w:hAnsi="Arial"/>
          <w:sz w:val="16"/>
          <w:szCs w:val="16"/>
          <w:color w:val="auto"/>
        </w:rPr>
        <w:t>M1+ and M3+ overdue ratios for all financing transactions that remained outstanding and were facilitated by the Company were 1.62% and 0.86%, respectively, as of December 31, 2021, compared with 1.58% and 0.76%, respectively, as of September 30, 2021.</w:t>
      </w:r>
    </w:p>
    <w:p>
      <w:pPr>
        <w:spacing w:after="0" w:line="29" w:lineRule="exact"/>
        <w:rPr>
          <w:rFonts w:ascii="Arial" w:cs="Arial" w:eastAsia="Arial" w:hAnsi="Arial"/>
          <w:sz w:val="16"/>
          <w:szCs w:val="16"/>
          <w:color w:val="auto"/>
        </w:rPr>
      </w:pPr>
    </w:p>
    <w:p>
      <w:pPr>
        <w:ind w:left="960" w:hanging="424"/>
        <w:spacing w:after="0"/>
        <w:tabs>
          <w:tab w:leader="none" w:pos="960" w:val="left"/>
        </w:tabs>
        <w:numPr>
          <w:ilvl w:val="0"/>
          <w:numId w:val="1"/>
        </w:numPr>
        <w:rPr>
          <w:rFonts w:ascii="Arial" w:cs="Arial" w:eastAsia="Arial" w:hAnsi="Arial"/>
          <w:sz w:val="16"/>
          <w:szCs w:val="16"/>
          <w:color w:val="auto"/>
        </w:rPr>
      </w:pPr>
      <w:r>
        <w:rPr>
          <w:rFonts w:ascii="Arial" w:cs="Arial" w:eastAsia="Arial" w:hAnsi="Arial"/>
          <w:sz w:val="16"/>
          <w:szCs w:val="16"/>
          <w:color w:val="auto"/>
        </w:rPr>
        <w:t>The number of dealers covered by the Company was 45,930 as of December 31, 2021, compared with 47,718 as of September 30, 2021.</w:t>
      </w:r>
    </w:p>
    <w:p>
      <w:pPr>
        <w:spacing w:after="0" w:line="35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Full Year 2021 Financial and Operational Highlights</w:t>
      </w:r>
    </w:p>
    <w:p>
      <w:pPr>
        <w:spacing w:after="0" w:line="135" w:lineRule="exact"/>
        <w:rPr>
          <w:sz w:val="20"/>
          <w:szCs w:val="20"/>
          <w:color w:val="auto"/>
        </w:rPr>
      </w:pPr>
    </w:p>
    <w:p>
      <w:pPr>
        <w:ind w:left="960" w:hanging="424"/>
        <w:spacing w:after="0"/>
        <w:tabs>
          <w:tab w:leader="none" w:pos="960" w:val="left"/>
        </w:tabs>
        <w:numPr>
          <w:ilvl w:val="0"/>
          <w:numId w:val="2"/>
        </w:numPr>
        <w:rPr>
          <w:rFonts w:ascii="Arial" w:cs="Arial" w:eastAsia="Arial" w:hAnsi="Arial"/>
          <w:sz w:val="17"/>
          <w:szCs w:val="17"/>
          <w:color w:val="auto"/>
        </w:rPr>
      </w:pPr>
      <w:r>
        <w:rPr>
          <w:rFonts w:ascii="Arial" w:cs="Arial" w:eastAsia="Arial" w:hAnsi="Arial"/>
          <w:sz w:val="17"/>
          <w:szCs w:val="17"/>
          <w:color w:val="auto"/>
        </w:rPr>
        <w:t>Total revenues were RMB3,921.7 million (US$615.4 million), a 91.1% increase from RMB2,052.4 million in the full year of 2020.</w:t>
      </w:r>
    </w:p>
    <w:p>
      <w:pPr>
        <w:spacing w:after="0" w:line="142" w:lineRule="exact"/>
        <w:rPr>
          <w:rFonts w:ascii="Arial" w:cs="Arial" w:eastAsia="Arial" w:hAnsi="Arial"/>
          <w:sz w:val="17"/>
          <w:szCs w:val="17"/>
          <w:color w:val="auto"/>
        </w:rPr>
      </w:pPr>
    </w:p>
    <w:p>
      <w:pPr>
        <w:ind w:left="960" w:right="380" w:hanging="424"/>
        <w:spacing w:after="0" w:line="277" w:lineRule="auto"/>
        <w:tabs>
          <w:tab w:leader="none" w:pos="960" w:val="left"/>
        </w:tabs>
        <w:numPr>
          <w:ilvl w:val="0"/>
          <w:numId w:val="2"/>
        </w:numPr>
        <w:rPr>
          <w:rFonts w:ascii="Arial" w:cs="Arial" w:eastAsia="Arial" w:hAnsi="Arial"/>
          <w:sz w:val="18"/>
          <w:szCs w:val="18"/>
          <w:color w:val="auto"/>
        </w:rPr>
      </w:pPr>
      <w:r>
        <w:rPr>
          <w:rFonts w:ascii="Arial" w:cs="Arial" w:eastAsia="Arial" w:hAnsi="Arial"/>
          <w:sz w:val="18"/>
          <w:szCs w:val="18"/>
          <w:color w:val="auto"/>
        </w:rPr>
        <w:t>Car trading transactions revenues were RMB2,227.2 million (US$349.5 million), or 56.8% of total revenues in the full year of 2021, a 256.5% increase from RMB624.8 million in the full year of 2020.</w:t>
      </w:r>
    </w:p>
    <w:p>
      <w:pPr>
        <w:spacing w:after="0" w:line="75" w:lineRule="exact"/>
        <w:rPr>
          <w:rFonts w:ascii="Arial" w:cs="Arial" w:eastAsia="Arial" w:hAnsi="Arial"/>
          <w:sz w:val="18"/>
          <w:szCs w:val="18"/>
          <w:color w:val="auto"/>
        </w:rPr>
      </w:pPr>
    </w:p>
    <w:p>
      <w:pPr>
        <w:ind w:left="960" w:right="260" w:hanging="424"/>
        <w:spacing w:after="0" w:line="277" w:lineRule="auto"/>
        <w:tabs>
          <w:tab w:leader="none" w:pos="960" w:val="left"/>
        </w:tabs>
        <w:numPr>
          <w:ilvl w:val="0"/>
          <w:numId w:val="2"/>
        </w:numPr>
        <w:rPr>
          <w:rFonts w:ascii="Arial" w:cs="Arial" w:eastAsia="Arial" w:hAnsi="Arial"/>
          <w:sz w:val="18"/>
          <w:szCs w:val="18"/>
          <w:color w:val="auto"/>
        </w:rPr>
      </w:pPr>
      <w:r>
        <w:rPr>
          <w:rFonts w:ascii="Arial" w:cs="Arial" w:eastAsia="Arial" w:hAnsi="Arial"/>
          <w:sz w:val="18"/>
          <w:szCs w:val="18"/>
          <w:color w:val="auto"/>
        </w:rPr>
        <w:t>Automotive financing facilitation revenues were RMB1,233.6 million (US$193.6 million), a 38.3% increase from RMB891.8 million in the full year of 2020.</w:t>
      </w:r>
    </w:p>
    <w:p>
      <w:pPr>
        <w:spacing w:after="0" w:line="75" w:lineRule="exact"/>
        <w:rPr>
          <w:rFonts w:ascii="Arial" w:cs="Arial" w:eastAsia="Arial" w:hAnsi="Arial"/>
          <w:sz w:val="18"/>
          <w:szCs w:val="18"/>
          <w:color w:val="auto"/>
        </w:rPr>
      </w:pPr>
    </w:p>
    <w:p>
      <w:pPr>
        <w:ind w:left="960" w:right="140" w:hanging="424"/>
        <w:spacing w:after="0" w:line="277" w:lineRule="auto"/>
        <w:tabs>
          <w:tab w:leader="none" w:pos="960" w:val="left"/>
        </w:tabs>
        <w:numPr>
          <w:ilvl w:val="0"/>
          <w:numId w:val="2"/>
        </w:numPr>
        <w:rPr>
          <w:rFonts w:ascii="Arial" w:cs="Arial" w:eastAsia="Arial" w:hAnsi="Arial"/>
          <w:sz w:val="18"/>
          <w:szCs w:val="18"/>
          <w:color w:val="auto"/>
        </w:rPr>
      </w:pPr>
      <w:r>
        <w:rPr>
          <w:rFonts w:ascii="Arial" w:cs="Arial" w:eastAsia="Arial" w:hAnsi="Arial"/>
          <w:sz w:val="18"/>
          <w:szCs w:val="18"/>
          <w:color w:val="auto"/>
        </w:rPr>
        <w:t>After-market services facilitation revenues were RMB193.8 million (US$30.4 million), compared with RMB241.2 million in the full year of 2020.</w:t>
      </w:r>
    </w:p>
    <w:p>
      <w:pPr>
        <w:spacing w:after="0" w:line="1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w:t>
      </w:r>
    </w:p>
    <w:p>
      <w:pPr>
        <w:sectPr>
          <w:pgSz w:w="11900" w:h="16838" w:orient="portrait"/>
          <w:cols w:equalWidth="0" w:num="1">
            <w:col w:w="11020"/>
          </w:cols>
          <w:pgMar w:left="440" w:top="121" w:right="439" w:bottom="1440" w:gutter="0" w:footer="0" w:header="0"/>
        </w:sectPr>
      </w:pPr>
    </w:p>
    <w:bookmarkStart w:id="4" w:name="page5"/>
    <w:bookmarkEnd w:id="4"/>
    <w:p>
      <w:pPr>
        <w:ind w:left="960" w:hanging="424"/>
        <w:spacing w:after="0"/>
        <w:tabs>
          <w:tab w:leader="none" w:pos="960" w:val="left"/>
        </w:tabs>
        <w:numPr>
          <w:ilvl w:val="0"/>
          <w:numId w:val="3"/>
        </w:numPr>
        <w:rPr>
          <w:rFonts w:ascii="Arial" w:cs="Arial" w:eastAsia="Arial" w:hAnsi="Arial"/>
          <w:sz w:val="17"/>
          <w:szCs w:val="17"/>
          <w:color w:val="auto"/>
        </w:rPr>
      </w:pPr>
      <w:r>
        <w:rPr>
          <w:rFonts w:ascii="Arial" w:cs="Arial" w:eastAsia="Arial" w:hAnsi="Arial"/>
          <w:sz w:val="17"/>
          <w:szCs w:val="17"/>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The amount of financing transactions the Company facilitated in the full year of 2021 was RMB30,128.1 million (US$4,727.8 million).</w:t>
      </w:r>
    </w:p>
    <w:p>
      <w:pPr>
        <w:spacing w:after="0" w:line="142" w:lineRule="exact"/>
        <w:rPr>
          <w:rFonts w:ascii="Arial" w:cs="Arial" w:eastAsia="Arial" w:hAnsi="Arial"/>
          <w:sz w:val="17"/>
          <w:szCs w:val="17"/>
          <w:color w:val="auto"/>
        </w:rPr>
      </w:pPr>
    </w:p>
    <w:p>
      <w:pPr>
        <w:ind w:left="960" w:right="260" w:hanging="424"/>
        <w:spacing w:after="0" w:line="342" w:lineRule="auto"/>
        <w:tabs>
          <w:tab w:leader="none" w:pos="960" w:val="left"/>
        </w:tabs>
        <w:numPr>
          <w:ilvl w:val="0"/>
          <w:numId w:val="3"/>
        </w:numPr>
        <w:rPr>
          <w:rFonts w:ascii="Arial" w:cs="Arial" w:eastAsia="Arial" w:hAnsi="Arial"/>
          <w:sz w:val="16"/>
          <w:szCs w:val="16"/>
          <w:color w:val="auto"/>
        </w:rPr>
      </w:pPr>
      <w:r>
        <w:rPr>
          <w:rFonts w:ascii="Arial" w:cs="Arial" w:eastAsia="Arial" w:hAnsi="Arial"/>
          <w:sz w:val="16"/>
          <w:szCs w:val="16"/>
          <w:color w:val="auto"/>
        </w:rPr>
        <w:t>M1+ and M3+ overdue ratios for all financing transactions that remained outstanding and were facilitated by the Company were 1.62% and 0.86%, respectively, as of December 31, 2021, compared with 0.98% and 0.42%, respectively, as of December 31, 2020.</w:t>
      </w:r>
    </w:p>
    <w:p>
      <w:pPr>
        <w:spacing w:after="0" w:line="29" w:lineRule="exact"/>
        <w:rPr>
          <w:rFonts w:ascii="Arial" w:cs="Arial" w:eastAsia="Arial" w:hAnsi="Arial"/>
          <w:sz w:val="16"/>
          <w:szCs w:val="16"/>
          <w:color w:val="auto"/>
        </w:rPr>
      </w:pPr>
    </w:p>
    <w:p>
      <w:pPr>
        <w:ind w:left="960" w:hanging="424"/>
        <w:spacing w:after="0"/>
        <w:tabs>
          <w:tab w:leader="none" w:pos="960" w:val="left"/>
        </w:tabs>
        <w:numPr>
          <w:ilvl w:val="0"/>
          <w:numId w:val="3"/>
        </w:numPr>
        <w:rPr>
          <w:rFonts w:ascii="Arial" w:cs="Arial" w:eastAsia="Arial" w:hAnsi="Arial"/>
          <w:sz w:val="16"/>
          <w:szCs w:val="16"/>
          <w:color w:val="auto"/>
        </w:rPr>
      </w:pPr>
      <w:r>
        <w:rPr>
          <w:rFonts w:ascii="Arial" w:cs="Arial" w:eastAsia="Arial" w:hAnsi="Arial"/>
          <w:sz w:val="16"/>
          <w:szCs w:val="16"/>
          <w:color w:val="auto"/>
        </w:rPr>
        <w:t>The number of dealers covered by the Company was 45,930 as of December 31, 2021, compared with 48,487 as of December 31, 2020.</w:t>
      </w:r>
    </w:p>
    <w:p>
      <w:pPr>
        <w:spacing w:after="0" w:line="248" w:lineRule="exact"/>
        <w:rPr>
          <w:sz w:val="20"/>
          <w:szCs w:val="20"/>
          <w:color w:val="auto"/>
        </w:rPr>
      </w:pPr>
    </w:p>
    <w:p>
      <w:pPr>
        <w:ind w:right="220"/>
        <w:spacing w:after="0" w:line="255" w:lineRule="auto"/>
        <w:rPr>
          <w:sz w:val="20"/>
          <w:szCs w:val="20"/>
          <w:color w:val="auto"/>
        </w:rPr>
      </w:pPr>
      <w:r>
        <w:rPr>
          <w:rFonts w:ascii="Arial" w:cs="Arial" w:eastAsia="Arial" w:hAnsi="Arial"/>
          <w:sz w:val="18"/>
          <w:szCs w:val="18"/>
          <w:color w:val="auto"/>
        </w:rPr>
        <w:t>Mr. Jiayuan Lin, Chief Executive Officer of Cango, commented, “While market volatility persisted as Covid-19 and global chip-shortages lingered, we’ve seen our business built steadily over the past year, with accelerated efforts in transforming Cango into a comprehensive automotive transaction service platform. Fourth quarter total revenues were RMB1.1 billion, exceeding the high end of our previous guidance range. Our car trading transactions business continued to gain momentum in the fourth quarter with revenues up 28.7% year-over-year while contributing to the Company’s total revenues by 67.0%. It is also playing a decisive role in upgrading our business to the platform model with an integrated ecosystem covering the entire auto transaction value chain.</w:t>
      </w:r>
    </w:p>
    <w:p>
      <w:pPr>
        <w:spacing w:after="0" w:line="192" w:lineRule="exact"/>
        <w:rPr>
          <w:sz w:val="20"/>
          <w:szCs w:val="20"/>
          <w:color w:val="auto"/>
        </w:rPr>
      </w:pPr>
    </w:p>
    <w:p>
      <w:pPr>
        <w:ind w:right="20"/>
        <w:spacing w:after="0" w:line="273" w:lineRule="auto"/>
        <w:rPr>
          <w:sz w:val="20"/>
          <w:szCs w:val="20"/>
          <w:color w:val="auto"/>
        </w:rPr>
      </w:pPr>
      <w:r>
        <w:rPr>
          <w:rFonts w:ascii="Arial" w:cs="Arial" w:eastAsia="Arial" w:hAnsi="Arial"/>
          <w:sz w:val="17"/>
          <w:szCs w:val="17"/>
          <w:color w:val="auto"/>
        </w:rPr>
        <w:t>“While the challenging backdrop continued to impact our automotive financing facilitation business, we remained focused on optimizing our organizational structure and leveraging technology to improve operating efficiency. Our B2B platform, ‘Cango Haoche,’ which provides one-stop transaction, logistics, finance, insurance and other auto-related services, gained further traction in the fourth quarter, garnering over two million total views since its launch last May. Our after-market services facilitation business also made progress as we completed the integration of Cango’s insurance service portal with the Li Auto App. Furthermore, we persist in making every effort to enhance dealer loyalty by empowering them to address their business pain points, while continuously improving the competitiveness of each of our core business segments.</w:t>
      </w:r>
    </w:p>
    <w:p>
      <w:pPr>
        <w:spacing w:after="0" w:line="178" w:lineRule="exact"/>
        <w:rPr>
          <w:sz w:val="20"/>
          <w:szCs w:val="20"/>
          <w:color w:val="auto"/>
        </w:rPr>
      </w:pPr>
    </w:p>
    <w:p>
      <w:pPr>
        <w:spacing w:after="0" w:line="259" w:lineRule="auto"/>
        <w:rPr>
          <w:sz w:val="20"/>
          <w:szCs w:val="20"/>
          <w:color w:val="auto"/>
        </w:rPr>
      </w:pPr>
      <w:r>
        <w:rPr>
          <w:rFonts w:ascii="Arial" w:cs="Arial" w:eastAsia="Arial" w:hAnsi="Arial"/>
          <w:sz w:val="18"/>
          <w:szCs w:val="18"/>
          <w:color w:val="auto"/>
        </w:rPr>
        <w:t>“Looking ahead, we remain cautious regarding the near-term outlook owing to factors including renewed Covid-19 outbreaks, global chip-shortages and other challenges to the macro environment. However, we will continue to focus on strengthening our integrated automotive transaction service platform, and exploring opportunities in the promising new energy vehicle market, while remaining steadfast in our mission to make selling and buying of cars simple and enjoyable.”</w:t>
      </w:r>
    </w:p>
    <w:p>
      <w:pPr>
        <w:spacing w:after="0" w:line="187" w:lineRule="exact"/>
        <w:rPr>
          <w:sz w:val="20"/>
          <w:szCs w:val="20"/>
          <w:color w:val="auto"/>
        </w:rPr>
      </w:pPr>
    </w:p>
    <w:p>
      <w:pPr>
        <w:ind w:right="20"/>
        <w:spacing w:after="0" w:line="259" w:lineRule="auto"/>
        <w:rPr>
          <w:sz w:val="20"/>
          <w:szCs w:val="20"/>
          <w:color w:val="auto"/>
        </w:rPr>
      </w:pPr>
      <w:r>
        <w:rPr>
          <w:rFonts w:ascii="Arial" w:cs="Arial" w:eastAsia="Arial" w:hAnsi="Arial"/>
          <w:sz w:val="18"/>
          <w:szCs w:val="18"/>
          <w:color w:val="auto"/>
        </w:rPr>
        <w:t>Mr. Yongyi Zhang, Chief Financial Officer of Cango, stated, “During the fourth quarter, macroeconomic headwinds persisted with global chip shortages directly impacting China’s automotive industry. Facing external pressures, we continued to made steady progress in the fourth quarter with top line beating our previous guidance. Moving forward, we will continue to focus attention on enhancing our efficient cost controls and improving operating efficiency, thus to further enhance the profitability of our business.”</w:t>
      </w:r>
    </w:p>
    <w:p>
      <w:pPr>
        <w:spacing w:after="0" w:line="119"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2</w:t>
      </w:r>
    </w:p>
    <w:p>
      <w:pPr>
        <w:sectPr>
          <w:pgSz w:w="11900" w:h="16838" w:orient="portrait"/>
          <w:cols w:equalWidth="0" w:num="1">
            <w:col w:w="10980"/>
          </w:cols>
          <w:pgMar w:left="440" w:top="274" w:right="47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Fourth Quarter 2021 Financial Results</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REVENUES</w:t>
      </w:r>
    </w:p>
    <w:p>
      <w:pPr>
        <w:spacing w:after="0" w:line="117" w:lineRule="exact"/>
        <w:rPr>
          <w:sz w:val="20"/>
          <w:szCs w:val="20"/>
          <w:color w:val="auto"/>
        </w:rPr>
      </w:pPr>
    </w:p>
    <w:p>
      <w:pPr>
        <w:ind w:right="100"/>
        <w:spacing w:after="0" w:line="259" w:lineRule="auto"/>
        <w:rPr>
          <w:sz w:val="20"/>
          <w:szCs w:val="20"/>
          <w:color w:val="auto"/>
        </w:rPr>
      </w:pPr>
      <w:r>
        <w:rPr>
          <w:rFonts w:ascii="Arial" w:cs="Arial" w:eastAsia="Arial" w:hAnsi="Arial"/>
          <w:sz w:val="18"/>
          <w:szCs w:val="18"/>
          <w:color w:val="auto"/>
        </w:rPr>
        <w:t>Total revenues in the fourth quarter of 2021 were RMB1,050.5 million (US$164.9 million) compared with RMB1,097.4 million in the same period of 2020. Revenues from car trading transactions in the fourth quarter of 2021 were RMB703.9 million (US$110.5 million), continuing to serve as an important revenue contributor. Revenues from automotive financing facilitation and after-market services facilitation in the fourth quarter of 2021 were RMB252.0 million (US$39.5 million) and RMB36.7 million (US$5.8 million), respectively.</w:t>
      </w:r>
    </w:p>
    <w:p>
      <w:pPr>
        <w:spacing w:after="0" w:line="295" w:lineRule="exact"/>
        <w:rPr>
          <w:sz w:val="20"/>
          <w:szCs w:val="20"/>
          <w:color w:val="auto"/>
        </w:rPr>
      </w:pPr>
    </w:p>
    <w:p>
      <w:pPr>
        <w:spacing w:after="0"/>
        <w:rPr>
          <w:sz w:val="20"/>
          <w:szCs w:val="20"/>
          <w:color w:val="auto"/>
        </w:rPr>
      </w:pPr>
      <w:r>
        <w:rPr>
          <w:rFonts w:ascii="Arial" w:cs="Arial" w:eastAsia="Arial" w:hAnsi="Arial"/>
          <w:sz w:val="18"/>
          <w:szCs w:val="18"/>
          <w:color w:val="auto"/>
        </w:rPr>
        <w:t>OPERATING COST AND EXPENSES</w:t>
      </w:r>
    </w:p>
    <w:p>
      <w:pPr>
        <w:spacing w:after="0" w:line="117" w:lineRule="exact"/>
        <w:rPr>
          <w:sz w:val="20"/>
          <w:szCs w:val="20"/>
          <w:color w:val="auto"/>
        </w:rPr>
      </w:pPr>
    </w:p>
    <w:p>
      <w:pPr>
        <w:ind w:right="100"/>
        <w:spacing w:after="0" w:line="277" w:lineRule="auto"/>
        <w:rPr>
          <w:sz w:val="20"/>
          <w:szCs w:val="20"/>
          <w:color w:val="auto"/>
        </w:rPr>
      </w:pPr>
      <w:r>
        <w:rPr>
          <w:rFonts w:ascii="Arial" w:cs="Arial" w:eastAsia="Arial" w:hAnsi="Arial"/>
          <w:sz w:val="18"/>
          <w:szCs w:val="18"/>
          <w:color w:val="auto"/>
        </w:rPr>
        <w:t>Total operating cost and expenses in the fourth quarter of 2021 were RMB1,207.6 million (US$189.5 million) compared with RMB899.0 million in the same period of 2020. This was mainly due to the related costs incurred by car trading transactions business.</w:t>
      </w:r>
    </w:p>
    <w:p>
      <w:pPr>
        <w:spacing w:after="0" w:line="76" w:lineRule="exact"/>
        <w:rPr>
          <w:sz w:val="20"/>
          <w:szCs w:val="20"/>
          <w:color w:val="auto"/>
        </w:rPr>
      </w:pPr>
    </w:p>
    <w:p>
      <w:pPr>
        <w:ind w:left="960" w:right="300" w:hanging="424"/>
        <w:spacing w:after="0" w:line="257" w:lineRule="auto"/>
        <w:tabs>
          <w:tab w:leader="none" w:pos="960" w:val="left"/>
        </w:tabs>
        <w:numPr>
          <w:ilvl w:val="0"/>
          <w:numId w:val="4"/>
        </w:numPr>
        <w:rPr>
          <w:rFonts w:ascii="Arial" w:cs="Arial" w:eastAsia="Arial" w:hAnsi="Arial"/>
          <w:sz w:val="18"/>
          <w:szCs w:val="18"/>
          <w:color w:val="auto"/>
        </w:rPr>
      </w:pPr>
      <w:r>
        <w:rPr>
          <w:rFonts w:ascii="Arial" w:cs="Arial" w:eastAsia="Arial" w:hAnsi="Arial"/>
          <w:sz w:val="18"/>
          <w:szCs w:val="18"/>
          <w:color w:val="auto"/>
        </w:rPr>
        <w:t>Cost of revenue in the fourth quarter of 2021 increased to RMB880.7 million (US$138.2 million) from RMB723.8 million in the same period of 2020. As a percentage of total revenues, cost of revenue in the fourth quarter of 2021 was 83.8% compared with 66.0% in the same period of 2020. The change was primarily due to an increase in the amount of car trading transactions. For automotive financing facilitation and after-market services facilitation, cost of revenue as a percentage of relevant revenues was around 54.1% in the fourth quarter of 2021.</w:t>
      </w:r>
    </w:p>
    <w:p>
      <w:pPr>
        <w:spacing w:after="0" w:line="93" w:lineRule="exact"/>
        <w:rPr>
          <w:rFonts w:ascii="Arial" w:cs="Arial" w:eastAsia="Arial" w:hAnsi="Arial"/>
          <w:sz w:val="18"/>
          <w:szCs w:val="18"/>
          <w:color w:val="auto"/>
        </w:rPr>
      </w:pPr>
    </w:p>
    <w:p>
      <w:pPr>
        <w:ind w:left="960" w:hanging="424"/>
        <w:spacing w:after="0" w:line="263" w:lineRule="auto"/>
        <w:tabs>
          <w:tab w:leader="none" w:pos="960" w:val="left"/>
        </w:tabs>
        <w:numPr>
          <w:ilvl w:val="0"/>
          <w:numId w:val="4"/>
        </w:numPr>
        <w:rPr>
          <w:rFonts w:ascii="Arial" w:cs="Arial" w:eastAsia="Arial" w:hAnsi="Arial"/>
          <w:sz w:val="18"/>
          <w:szCs w:val="18"/>
          <w:color w:val="auto"/>
        </w:rPr>
      </w:pPr>
      <w:r>
        <w:rPr>
          <w:rFonts w:ascii="Arial" w:cs="Arial" w:eastAsia="Arial" w:hAnsi="Arial"/>
          <w:sz w:val="18"/>
          <w:szCs w:val="18"/>
          <w:color w:val="auto"/>
        </w:rPr>
        <w:t>Sales and marketing expenses in the fourth quarter of 2021 were RMB73.8 million (US$11.6 million) compared with RMB65.8 million in the same period of 2020. As a percentage of total revenues, sales and marketing expenses in the fourth quarter of 2021 was 7.0% compared with 6.0% in the same period of 2020.</w:t>
      </w:r>
    </w:p>
    <w:p>
      <w:pPr>
        <w:spacing w:after="0" w:line="89" w:lineRule="exact"/>
        <w:rPr>
          <w:rFonts w:ascii="Arial" w:cs="Arial" w:eastAsia="Arial" w:hAnsi="Arial"/>
          <w:sz w:val="18"/>
          <w:szCs w:val="18"/>
          <w:color w:val="auto"/>
        </w:rPr>
      </w:pPr>
    </w:p>
    <w:p>
      <w:pPr>
        <w:ind w:left="960" w:hanging="424"/>
        <w:spacing w:after="0"/>
        <w:tabs>
          <w:tab w:leader="none" w:pos="960" w:val="left"/>
        </w:tabs>
        <w:numPr>
          <w:ilvl w:val="0"/>
          <w:numId w:val="4"/>
        </w:numPr>
        <w:rPr>
          <w:rFonts w:ascii="Arial" w:cs="Arial" w:eastAsia="Arial" w:hAnsi="Arial"/>
          <w:sz w:val="18"/>
          <w:szCs w:val="18"/>
          <w:color w:val="auto"/>
        </w:rPr>
      </w:pPr>
      <w:r>
        <w:rPr>
          <w:rFonts w:ascii="Arial" w:cs="Arial" w:eastAsia="Arial" w:hAnsi="Arial"/>
          <w:sz w:val="18"/>
          <w:szCs w:val="18"/>
          <w:color w:val="auto"/>
        </w:rPr>
        <w:t>General and administrative expenses in the fourth quarter of 2021 were RMB86.1 million (US$13.5 million) compared with</w:t>
      </w:r>
    </w:p>
    <w:p>
      <w:pPr>
        <w:spacing w:after="0" w:line="23" w:lineRule="exact"/>
        <w:rPr>
          <w:rFonts w:ascii="Arial" w:cs="Arial" w:eastAsia="Arial" w:hAnsi="Arial"/>
          <w:sz w:val="18"/>
          <w:szCs w:val="18"/>
          <w:color w:val="auto"/>
        </w:rPr>
      </w:pPr>
    </w:p>
    <w:p>
      <w:pPr>
        <w:ind w:left="960" w:right="120"/>
        <w:spacing w:after="0" w:line="260" w:lineRule="auto"/>
        <w:rPr>
          <w:rFonts w:ascii="Arial" w:cs="Arial" w:eastAsia="Arial" w:hAnsi="Arial"/>
          <w:sz w:val="18"/>
          <w:szCs w:val="18"/>
          <w:color w:val="auto"/>
        </w:rPr>
      </w:pPr>
      <w:r>
        <w:rPr>
          <w:rFonts w:ascii="Arial" w:cs="Arial" w:eastAsia="Arial" w:hAnsi="Arial"/>
          <w:sz w:val="18"/>
          <w:szCs w:val="18"/>
          <w:color w:val="auto"/>
        </w:rPr>
        <w:t>RMB90.1 million in the same period of 2020. As a percentage of total revenues, general and administrative expenses in the fourth quarter of 2021 remained flat at 8.2% compared with the same period of 2020.</w:t>
      </w:r>
    </w:p>
    <w:p>
      <w:pPr>
        <w:spacing w:after="0" w:line="90" w:lineRule="exact"/>
        <w:rPr>
          <w:rFonts w:ascii="Arial" w:cs="Arial" w:eastAsia="Arial" w:hAnsi="Arial"/>
          <w:sz w:val="18"/>
          <w:szCs w:val="18"/>
          <w:color w:val="auto"/>
        </w:rPr>
      </w:pPr>
    </w:p>
    <w:p>
      <w:pPr>
        <w:ind w:left="960" w:hanging="424"/>
        <w:spacing w:after="0"/>
        <w:tabs>
          <w:tab w:leader="none" w:pos="960" w:val="left"/>
        </w:tabs>
        <w:numPr>
          <w:ilvl w:val="0"/>
          <w:numId w:val="4"/>
        </w:numPr>
        <w:rPr>
          <w:rFonts w:ascii="Arial" w:cs="Arial" w:eastAsia="Arial" w:hAnsi="Arial"/>
          <w:sz w:val="18"/>
          <w:szCs w:val="18"/>
          <w:color w:val="auto"/>
        </w:rPr>
      </w:pPr>
      <w:r>
        <w:rPr>
          <w:rFonts w:ascii="Arial" w:cs="Arial" w:eastAsia="Arial" w:hAnsi="Arial"/>
          <w:sz w:val="18"/>
          <w:szCs w:val="18"/>
          <w:color w:val="auto"/>
        </w:rPr>
        <w:t>Research and development expenses in the fourth quarter of 2021 were RMB23.6 million (US$3.7 million) compared with</w:t>
      </w:r>
    </w:p>
    <w:p>
      <w:pPr>
        <w:spacing w:after="0" w:line="23" w:lineRule="exact"/>
        <w:rPr>
          <w:rFonts w:ascii="Arial" w:cs="Arial" w:eastAsia="Arial" w:hAnsi="Arial"/>
          <w:sz w:val="18"/>
          <w:szCs w:val="18"/>
          <w:color w:val="auto"/>
        </w:rPr>
      </w:pPr>
    </w:p>
    <w:p>
      <w:pPr>
        <w:ind w:left="960" w:right="140"/>
        <w:spacing w:after="0" w:line="260" w:lineRule="auto"/>
        <w:rPr>
          <w:rFonts w:ascii="Arial" w:cs="Arial" w:eastAsia="Arial" w:hAnsi="Arial"/>
          <w:sz w:val="18"/>
          <w:szCs w:val="18"/>
          <w:color w:val="auto"/>
        </w:rPr>
      </w:pPr>
      <w:r>
        <w:rPr>
          <w:rFonts w:ascii="Arial" w:cs="Arial" w:eastAsia="Arial" w:hAnsi="Arial"/>
          <w:sz w:val="18"/>
          <w:szCs w:val="18"/>
          <w:color w:val="auto"/>
        </w:rPr>
        <w:t>RMB23.0 million in the same period of 2020. As a percentage of total revenues, research and development expenses in the fourth quarter of 2021 was 2.2% compared with 2.1% in the same period of 2020.</w:t>
      </w:r>
    </w:p>
    <w:p>
      <w:pPr>
        <w:spacing w:after="0" w:line="90" w:lineRule="exact"/>
        <w:rPr>
          <w:rFonts w:ascii="Arial" w:cs="Arial" w:eastAsia="Arial" w:hAnsi="Arial"/>
          <w:sz w:val="18"/>
          <w:szCs w:val="18"/>
          <w:color w:val="auto"/>
        </w:rPr>
      </w:pPr>
    </w:p>
    <w:p>
      <w:pPr>
        <w:ind w:left="960" w:right="180" w:hanging="424"/>
        <w:spacing w:after="0" w:line="263" w:lineRule="auto"/>
        <w:tabs>
          <w:tab w:leader="none" w:pos="9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Net loss on risk assurance liabilities in the fourth quarter of 2021 was RMB84.6 million (US$13.3 million) compared to a net gain of RMB18.8 million in the same period of 2020. Net loss on risk assurance liabilities was mainly due to a sequential increase in default rate over 2021.</w:t>
      </w:r>
    </w:p>
    <w:p>
      <w:pPr>
        <w:spacing w:after="0" w:line="116"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w:t>
      </w:r>
    </w:p>
    <w:p>
      <w:pPr>
        <w:sectPr>
          <w:pgSz w:w="11900" w:h="16838" w:orient="portrait"/>
          <w:cols w:equalWidth="0" w:num="1">
            <w:col w:w="11000"/>
          </w:cols>
          <w:pgMar w:left="440" w:top="270" w:right="459" w:bottom="1440" w:gutter="0" w:footer="0" w:header="0"/>
        </w:sectPr>
      </w:pPr>
    </w:p>
    <w:bookmarkStart w:id="6" w:name="page7"/>
    <w:bookmarkEnd w:id="6"/>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100"/>
                    </a:xfrm>
                    <a:prstGeom prst="rect">
                      <a:avLst/>
                    </a:prstGeom>
                    <a:noFill/>
                  </pic:spPr>
                </pic:pic>
              </a:graphicData>
            </a:graphic>
          </wp:anchor>
        </w:drawing>
        <w:t>LOSS FROM OPERATIONS</w:t>
      </w:r>
    </w:p>
    <w:p>
      <w:pPr>
        <w:spacing w:after="0" w:line="117" w:lineRule="exact"/>
        <w:rPr>
          <w:sz w:val="20"/>
          <w:szCs w:val="20"/>
          <w:color w:val="auto"/>
        </w:rPr>
      </w:pPr>
    </w:p>
    <w:p>
      <w:pPr>
        <w:ind w:right="40"/>
        <w:spacing w:after="0" w:line="263" w:lineRule="auto"/>
        <w:rPr>
          <w:sz w:val="20"/>
          <w:szCs w:val="20"/>
          <w:color w:val="auto"/>
        </w:rPr>
      </w:pPr>
      <w:r>
        <w:rPr>
          <w:rFonts w:ascii="Arial" w:cs="Arial" w:eastAsia="Arial" w:hAnsi="Arial"/>
          <w:sz w:val="18"/>
          <w:szCs w:val="18"/>
          <w:color w:val="auto"/>
        </w:rPr>
        <w:t>Loss from operations in the fourth quarter of 2021 was RMB157.0 million (US$24.6 million), compared to an income of RMB198.4 million in the same period of 2020. This decrease was mainly due to loss on risk assurance liabilities and provision for credit losses, as well as the decrease in gross profit margins of automotive financing facilitation and after-market services facilitation businesses.</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FAIR VALUE CHANGE OF EQUITY INVESTMENT</w:t>
      </w:r>
    </w:p>
    <w:p>
      <w:pPr>
        <w:spacing w:after="0" w:line="117" w:lineRule="exact"/>
        <w:rPr>
          <w:sz w:val="20"/>
          <w:szCs w:val="20"/>
          <w:color w:val="auto"/>
        </w:rPr>
      </w:pPr>
    </w:p>
    <w:p>
      <w:pPr>
        <w:spacing w:after="0" w:line="263" w:lineRule="auto"/>
        <w:rPr>
          <w:sz w:val="20"/>
          <w:szCs w:val="20"/>
          <w:color w:val="auto"/>
        </w:rPr>
      </w:pPr>
      <w:r>
        <w:rPr>
          <w:rFonts w:ascii="Arial" w:cs="Arial" w:eastAsia="Arial" w:hAnsi="Arial"/>
          <w:sz w:val="18"/>
          <w:szCs w:val="18"/>
          <w:color w:val="auto"/>
        </w:rPr>
        <w:t>Fair value change of equity investment in the fourth quarter of 2021 was a gain of RMB254.1 million (US$39.9 million) compared to a gain of RMB1,487.8 million in the same period of 2020. The gain in the fourth quarter of 2021 was mainly due to the investment in Li Auto. Cango has sold out all of its equity interest in Li Auto.</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NET INCOME AND NON-GAAP ADJUSTED NET INCOME</w:t>
      </w:r>
    </w:p>
    <w:p>
      <w:pPr>
        <w:spacing w:after="0" w:line="117" w:lineRule="exact"/>
        <w:rPr>
          <w:sz w:val="20"/>
          <w:szCs w:val="20"/>
          <w:color w:val="auto"/>
        </w:rPr>
      </w:pPr>
    </w:p>
    <w:p>
      <w:pPr>
        <w:spacing w:after="0"/>
        <w:rPr>
          <w:sz w:val="20"/>
          <w:szCs w:val="20"/>
          <w:color w:val="auto"/>
        </w:rPr>
      </w:pPr>
      <w:r>
        <w:rPr>
          <w:rFonts w:ascii="Arial" w:cs="Arial" w:eastAsia="Arial" w:hAnsi="Arial"/>
          <w:sz w:val="17"/>
          <w:szCs w:val="17"/>
          <w:color w:val="auto"/>
        </w:rPr>
        <w:t>Primarily due to the fair value change of the Company’s investment in Li Auto, net income in the fourth quarter of 2021 was RMB124.1 million</w:t>
      </w:r>
    </w:p>
    <w:p>
      <w:pPr>
        <w:spacing w:after="0" w:line="35" w:lineRule="exact"/>
        <w:rPr>
          <w:sz w:val="20"/>
          <w:szCs w:val="20"/>
          <w:color w:val="auto"/>
        </w:rPr>
      </w:pPr>
    </w:p>
    <w:p>
      <w:pPr>
        <w:ind w:right="200"/>
        <w:spacing w:after="0" w:line="290" w:lineRule="auto"/>
        <w:rPr>
          <w:sz w:val="20"/>
          <w:szCs w:val="20"/>
          <w:color w:val="auto"/>
        </w:rPr>
      </w:pPr>
      <w:r>
        <w:rPr>
          <w:rFonts w:ascii="Arial" w:cs="Arial" w:eastAsia="Arial" w:hAnsi="Arial"/>
          <w:sz w:val="17"/>
          <w:szCs w:val="17"/>
          <w:color w:val="auto"/>
        </w:rPr>
        <w:t>(US$19.5 million). Non-GAAP adjusted net income in the fourth quarter of 2021 was RMB147.3 million (US$23.1 million). Non-GAAP adjusted net income excludes the impact of share-based compensation expenses. For further information, see “Use of Non-GAAP Financial Measure.”</w:t>
      </w:r>
    </w:p>
    <w:p>
      <w:pPr>
        <w:spacing w:after="0" w:line="269" w:lineRule="exact"/>
        <w:rPr>
          <w:sz w:val="20"/>
          <w:szCs w:val="20"/>
          <w:color w:val="auto"/>
        </w:rPr>
      </w:pPr>
    </w:p>
    <w:p>
      <w:pPr>
        <w:spacing w:after="0"/>
        <w:rPr>
          <w:sz w:val="20"/>
          <w:szCs w:val="20"/>
          <w:color w:val="auto"/>
        </w:rPr>
      </w:pPr>
      <w:r>
        <w:rPr>
          <w:rFonts w:ascii="Arial" w:cs="Arial" w:eastAsia="Arial" w:hAnsi="Arial"/>
          <w:sz w:val="18"/>
          <w:szCs w:val="18"/>
          <w:color w:val="auto"/>
        </w:rPr>
        <w:t>NET INCOME PER ADS AND NON-GAAP ADJUSTED NET INCOME PER ADS</w:t>
      </w:r>
    </w:p>
    <w:p>
      <w:pPr>
        <w:spacing w:after="0" w:line="117" w:lineRule="exact"/>
        <w:rPr>
          <w:sz w:val="20"/>
          <w:szCs w:val="20"/>
          <w:color w:val="auto"/>
        </w:rPr>
      </w:pPr>
    </w:p>
    <w:p>
      <w:pPr>
        <w:ind w:right="120"/>
        <w:spacing w:after="0" w:line="263" w:lineRule="auto"/>
        <w:rPr>
          <w:sz w:val="20"/>
          <w:szCs w:val="20"/>
          <w:color w:val="auto"/>
        </w:rPr>
      </w:pPr>
      <w:r>
        <w:rPr>
          <w:rFonts w:ascii="Arial" w:cs="Arial" w:eastAsia="Arial" w:hAnsi="Arial"/>
          <w:sz w:val="18"/>
          <w:szCs w:val="18"/>
          <w:color w:val="auto"/>
        </w:rPr>
        <w:t>Basic and diluted net income per American Depositary Share (ADS) in the fourth quarter of 2021 were RMB0.88 (US$0.14) and RMB0.87 (US$0.14), respectively. Non-GAAP adjusted basic and diluted net income per ADS in the fourth quarter of 2021 were RMB1.04 (US$0.16) and RMB1.04 (US$0.16), respectively. Each ADS represents two Class A ordinary shares of the Company.</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BALANCE SHEET</w:t>
      </w:r>
    </w:p>
    <w:p>
      <w:pPr>
        <w:spacing w:after="0" w:line="117" w:lineRule="exact"/>
        <w:rPr>
          <w:sz w:val="20"/>
          <w:szCs w:val="20"/>
          <w:color w:val="auto"/>
        </w:rPr>
      </w:pPr>
    </w:p>
    <w:p>
      <w:pPr>
        <w:ind w:right="120"/>
        <w:spacing w:after="0" w:line="277" w:lineRule="auto"/>
        <w:rPr>
          <w:sz w:val="20"/>
          <w:szCs w:val="20"/>
          <w:color w:val="auto"/>
        </w:rPr>
      </w:pPr>
      <w:r>
        <w:rPr>
          <w:rFonts w:ascii="Arial" w:cs="Arial" w:eastAsia="Arial" w:hAnsi="Arial"/>
          <w:sz w:val="18"/>
          <w:szCs w:val="18"/>
          <w:color w:val="auto"/>
        </w:rPr>
        <w:t>As of December 31, 2021, the Company had cash and cash equivalents of RMB1,434.8 million (US$225.2 million), compared with RMB906.4 million as of September 30, 2021.</w:t>
      </w:r>
    </w:p>
    <w:p>
      <w:pPr>
        <w:spacing w:after="0" w:line="170" w:lineRule="exact"/>
        <w:rPr>
          <w:sz w:val="20"/>
          <w:szCs w:val="20"/>
          <w:color w:val="auto"/>
        </w:rPr>
      </w:pPr>
    </w:p>
    <w:p>
      <w:pPr>
        <w:ind w:right="180"/>
        <w:spacing w:after="0" w:line="277" w:lineRule="auto"/>
        <w:rPr>
          <w:sz w:val="20"/>
          <w:szCs w:val="20"/>
          <w:color w:val="auto"/>
        </w:rPr>
      </w:pPr>
      <w:r>
        <w:rPr>
          <w:rFonts w:ascii="Arial" w:cs="Arial" w:eastAsia="Arial" w:hAnsi="Arial"/>
          <w:sz w:val="18"/>
          <w:szCs w:val="18"/>
          <w:color w:val="auto"/>
        </w:rPr>
        <w:t>As of December 31, 2021, the Company had short-term investments of RMB2,598.9 million (US$407.8 million), compared with RMB3,588.2 million as of September 30,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Full Year 2021 Financial Results</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REVENUES</w:t>
      </w:r>
    </w:p>
    <w:p>
      <w:pPr>
        <w:spacing w:after="0" w:line="117" w:lineRule="exact"/>
        <w:rPr>
          <w:sz w:val="20"/>
          <w:szCs w:val="20"/>
          <w:color w:val="auto"/>
        </w:rPr>
      </w:pPr>
    </w:p>
    <w:p>
      <w:pPr>
        <w:spacing w:after="0" w:line="259" w:lineRule="auto"/>
        <w:rPr>
          <w:sz w:val="20"/>
          <w:szCs w:val="20"/>
          <w:color w:val="auto"/>
        </w:rPr>
      </w:pPr>
      <w:r>
        <w:rPr>
          <w:rFonts w:ascii="Arial" w:cs="Arial" w:eastAsia="Arial" w:hAnsi="Arial"/>
          <w:sz w:val="18"/>
          <w:szCs w:val="18"/>
          <w:color w:val="auto"/>
        </w:rPr>
        <w:t>Total revenues in the full year of 2021 increased by 91.1% to RMB3,921.7 million (US$615.4 million) from RMB2,052.4 million in the full year of 2020. Revenues from car trading transactions in the full year of 2021 were RMB2,227.2 million (US$349.5 million). Revenues from automotive financing facilitation and after-market services facilitation in the full year of 2021 were RMB1,233.6 million (US$193.6 million) and RMB193.8 million (US$30.4 million), respectively.</w:t>
      </w:r>
    </w:p>
    <w:p>
      <w:pPr>
        <w:spacing w:after="0" w:line="11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ectPr>
          <w:pgSz w:w="11900" w:h="16838" w:orient="portrait"/>
          <w:cols w:equalWidth="0" w:num="1">
            <w:col w:w="11000"/>
          </w:cols>
          <w:pgMar w:left="440" w:top="274" w:right="459" w:bottom="1440" w:gutter="0" w:footer="0" w:header="0"/>
        </w:sectPr>
      </w:pPr>
    </w:p>
    <w:bookmarkStart w:id="7" w:name="page8"/>
    <w:bookmarkEnd w:id="7"/>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100"/>
                    </a:xfrm>
                    <a:prstGeom prst="rect">
                      <a:avLst/>
                    </a:prstGeom>
                    <a:noFill/>
                  </pic:spPr>
                </pic:pic>
              </a:graphicData>
            </a:graphic>
          </wp:anchor>
        </w:drawing>
        <w:t>OPERATING COST AND EXPENSES</w:t>
      </w:r>
    </w:p>
    <w:p>
      <w:pPr>
        <w:spacing w:after="0" w:line="117" w:lineRule="exact"/>
        <w:rPr>
          <w:sz w:val="20"/>
          <w:szCs w:val="20"/>
          <w:color w:val="auto"/>
        </w:rPr>
      </w:pPr>
    </w:p>
    <w:p>
      <w:pPr>
        <w:ind w:right="60"/>
        <w:spacing w:after="0" w:line="279" w:lineRule="auto"/>
        <w:rPr>
          <w:sz w:val="20"/>
          <w:szCs w:val="20"/>
          <w:color w:val="auto"/>
        </w:rPr>
      </w:pPr>
      <w:r>
        <w:rPr>
          <w:rFonts w:ascii="Arial" w:cs="Arial" w:eastAsia="Arial" w:hAnsi="Arial"/>
          <w:sz w:val="17"/>
          <w:szCs w:val="17"/>
          <w:color w:val="auto"/>
        </w:rPr>
        <w:t>Total operating cost and expenses in the full year of 2021 were RMB3,945.0 million (US$619.1 million) compared with RMB1,734.1 million in the full year of 2020. This was mainly due to the related costs incurred by car trading transactions business. Primarily as a result of the increase in revenues from car trading transactions, sales and marketing expenses, general and administrative expenses and research and development expenses each decreased as a percentage of total revenues in the full year of 2021, compared with the full year of 2020.</w:t>
      </w:r>
    </w:p>
    <w:p>
      <w:pPr>
        <w:spacing w:after="0" w:line="77" w:lineRule="exact"/>
        <w:rPr>
          <w:sz w:val="20"/>
          <w:szCs w:val="20"/>
          <w:color w:val="auto"/>
        </w:rPr>
      </w:pPr>
    </w:p>
    <w:p>
      <w:pPr>
        <w:ind w:left="960" w:right="40" w:hanging="424"/>
        <w:spacing w:after="0" w:line="301" w:lineRule="auto"/>
        <w:tabs>
          <w:tab w:leader="none" w:pos="960" w:val="left"/>
        </w:tabs>
        <w:numPr>
          <w:ilvl w:val="0"/>
          <w:numId w:val="5"/>
        </w:numPr>
        <w:rPr>
          <w:rFonts w:ascii="Arial" w:cs="Arial" w:eastAsia="Arial" w:hAnsi="Arial"/>
          <w:sz w:val="16"/>
          <w:szCs w:val="16"/>
          <w:color w:val="auto"/>
        </w:rPr>
      </w:pPr>
      <w:r>
        <w:rPr>
          <w:rFonts w:ascii="Arial" w:cs="Arial" w:eastAsia="Arial" w:hAnsi="Arial"/>
          <w:sz w:val="16"/>
          <w:szCs w:val="16"/>
          <w:color w:val="auto"/>
        </w:rPr>
        <w:t>Cost of revenue in the full year of 2021 increased to RMB2,958.0 million (US$464.2 million) from RMB1,098.1 million in the full year of 2020. As a percentage of total revenues, cost of revenue in the full year of 2021 was 75.4% compared with 53.5% in the full year of 2020. The change was primarily due to an increase in the amount of car trading transactions. For automotive financing facilitation and after-market services facilitation, cost of revenue as a percentage of relevant revenues was around 44.0% in the full year of 2021.</w:t>
      </w:r>
    </w:p>
    <w:p>
      <w:pPr>
        <w:spacing w:after="0" w:line="62" w:lineRule="exact"/>
        <w:rPr>
          <w:rFonts w:ascii="Arial" w:cs="Arial" w:eastAsia="Arial" w:hAnsi="Arial"/>
          <w:sz w:val="16"/>
          <w:szCs w:val="16"/>
          <w:color w:val="auto"/>
        </w:rPr>
      </w:pPr>
    </w:p>
    <w:p>
      <w:pPr>
        <w:ind w:left="960" w:right="20" w:hanging="424"/>
        <w:spacing w:after="0" w:line="263" w:lineRule="auto"/>
        <w:tabs>
          <w:tab w:leader="none" w:pos="960" w:val="left"/>
        </w:tabs>
        <w:numPr>
          <w:ilvl w:val="0"/>
          <w:numId w:val="5"/>
        </w:numPr>
        <w:rPr>
          <w:rFonts w:ascii="Arial" w:cs="Arial" w:eastAsia="Arial" w:hAnsi="Arial"/>
          <w:sz w:val="18"/>
          <w:szCs w:val="18"/>
          <w:color w:val="auto"/>
        </w:rPr>
      </w:pPr>
      <w:r>
        <w:rPr>
          <w:rFonts w:ascii="Arial" w:cs="Arial" w:eastAsia="Arial" w:hAnsi="Arial"/>
          <w:sz w:val="18"/>
          <w:szCs w:val="18"/>
          <w:color w:val="auto"/>
        </w:rPr>
        <w:t>Sales and marketing expenses in the full year of 2021 were RMB239.3 million (US$37.6 million) compared with RMB195.9 million in the full year of 2020. As a percentage of total revenues, sales and marketing expenses in the full year of 2021 was 6.1% compared with 9.5% in the full year of 2020.</w:t>
      </w:r>
    </w:p>
    <w:p>
      <w:pPr>
        <w:spacing w:after="0" w:line="89" w:lineRule="exact"/>
        <w:rPr>
          <w:rFonts w:ascii="Arial" w:cs="Arial" w:eastAsia="Arial" w:hAnsi="Arial"/>
          <w:sz w:val="18"/>
          <w:szCs w:val="18"/>
          <w:color w:val="auto"/>
        </w:rPr>
      </w:pPr>
    </w:p>
    <w:p>
      <w:pPr>
        <w:ind w:left="960" w:hanging="424"/>
        <w:spacing w:after="0"/>
        <w:tabs>
          <w:tab w:leader="none" w:pos="960" w:val="left"/>
        </w:tabs>
        <w:numPr>
          <w:ilvl w:val="0"/>
          <w:numId w:val="5"/>
        </w:numPr>
        <w:rPr>
          <w:rFonts w:ascii="Arial" w:cs="Arial" w:eastAsia="Arial" w:hAnsi="Arial"/>
          <w:sz w:val="18"/>
          <w:szCs w:val="18"/>
          <w:color w:val="auto"/>
        </w:rPr>
      </w:pPr>
      <w:r>
        <w:rPr>
          <w:rFonts w:ascii="Arial" w:cs="Arial" w:eastAsia="Arial" w:hAnsi="Arial"/>
          <w:sz w:val="18"/>
          <w:szCs w:val="18"/>
          <w:color w:val="auto"/>
        </w:rPr>
        <w:t>General and administrative expenses in the full year of 2021 were RMB276.2 million (US$43.3 million) compared with</w:t>
      </w:r>
    </w:p>
    <w:p>
      <w:pPr>
        <w:spacing w:after="0" w:line="23" w:lineRule="exact"/>
        <w:rPr>
          <w:rFonts w:ascii="Arial" w:cs="Arial" w:eastAsia="Arial" w:hAnsi="Arial"/>
          <w:sz w:val="18"/>
          <w:szCs w:val="18"/>
          <w:color w:val="auto"/>
        </w:rPr>
      </w:pPr>
    </w:p>
    <w:p>
      <w:pPr>
        <w:ind w:left="960" w:right="80"/>
        <w:spacing w:after="0" w:line="260" w:lineRule="auto"/>
        <w:rPr>
          <w:rFonts w:ascii="Arial" w:cs="Arial" w:eastAsia="Arial" w:hAnsi="Arial"/>
          <w:sz w:val="18"/>
          <w:szCs w:val="18"/>
          <w:color w:val="auto"/>
        </w:rPr>
      </w:pPr>
      <w:r>
        <w:rPr>
          <w:rFonts w:ascii="Arial" w:cs="Arial" w:eastAsia="Arial" w:hAnsi="Arial"/>
          <w:sz w:val="18"/>
          <w:szCs w:val="18"/>
          <w:color w:val="auto"/>
        </w:rPr>
        <w:t>RMB265.7 million in the full year of 2020. As a percentage of total revenues, general and administrative expenses in the full year of 2021 was 7.0% compared with 12.9% in the full year of 2020.</w:t>
      </w:r>
    </w:p>
    <w:p>
      <w:pPr>
        <w:spacing w:after="0" w:line="90" w:lineRule="exact"/>
        <w:rPr>
          <w:rFonts w:ascii="Arial" w:cs="Arial" w:eastAsia="Arial" w:hAnsi="Arial"/>
          <w:sz w:val="18"/>
          <w:szCs w:val="18"/>
          <w:color w:val="auto"/>
        </w:rPr>
      </w:pPr>
    </w:p>
    <w:p>
      <w:pPr>
        <w:ind w:left="960" w:hanging="424"/>
        <w:spacing w:after="0" w:line="263" w:lineRule="auto"/>
        <w:tabs>
          <w:tab w:leader="none" w:pos="9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Research and development expenses in the full year of 2021 were RMB70.3 million (US$11.0 million) compared with RMB62.6 million in the full year of 2020. As a percentage of total revenues, research and development expenses in the full year of 2021 was 1.8% compared with 3.0% in the full year of 2020.</w:t>
      </w:r>
    </w:p>
    <w:p>
      <w:pPr>
        <w:spacing w:after="0" w:line="89" w:lineRule="exact"/>
        <w:rPr>
          <w:rFonts w:ascii="Arial" w:cs="Arial" w:eastAsia="Arial" w:hAnsi="Arial"/>
          <w:sz w:val="18"/>
          <w:szCs w:val="18"/>
          <w:color w:val="auto"/>
        </w:rPr>
      </w:pPr>
    </w:p>
    <w:p>
      <w:pPr>
        <w:ind w:left="960" w:right="800" w:hanging="424"/>
        <w:spacing w:after="0" w:line="342" w:lineRule="auto"/>
        <w:tabs>
          <w:tab w:leader="none" w:pos="960" w:val="left"/>
        </w:tabs>
        <w:numPr>
          <w:ilvl w:val="0"/>
          <w:numId w:val="5"/>
        </w:numPr>
        <w:rPr>
          <w:rFonts w:ascii="Arial" w:cs="Arial" w:eastAsia="Arial" w:hAnsi="Arial"/>
          <w:sz w:val="16"/>
          <w:szCs w:val="16"/>
          <w:color w:val="auto"/>
        </w:rPr>
      </w:pPr>
      <w:r>
        <w:rPr>
          <w:rFonts w:ascii="Arial" w:cs="Arial" w:eastAsia="Arial" w:hAnsi="Arial"/>
          <w:sz w:val="16"/>
          <w:szCs w:val="16"/>
          <w:color w:val="auto"/>
        </w:rPr>
        <w:t>Net loss on risk assurance liabilities in the full year of 2021 was RMB197.8 million (US$31.0 million) compared to a net loss of RMB2.3 million in the same period of 2020. The change was mainly due to a sequential increase in default rate over 2021.</w:t>
      </w:r>
    </w:p>
    <w:p>
      <w:pPr>
        <w:spacing w:after="0" w:line="232" w:lineRule="exact"/>
        <w:rPr>
          <w:sz w:val="20"/>
          <w:szCs w:val="20"/>
          <w:color w:val="auto"/>
        </w:rPr>
      </w:pPr>
    </w:p>
    <w:p>
      <w:pPr>
        <w:spacing w:after="0"/>
        <w:rPr>
          <w:sz w:val="20"/>
          <w:szCs w:val="20"/>
          <w:color w:val="auto"/>
        </w:rPr>
      </w:pPr>
      <w:r>
        <w:rPr>
          <w:rFonts w:ascii="Arial" w:cs="Arial" w:eastAsia="Arial" w:hAnsi="Arial"/>
          <w:sz w:val="18"/>
          <w:szCs w:val="18"/>
          <w:color w:val="auto"/>
        </w:rPr>
        <w:t>LOSS FROM OPERATIONS</w:t>
      </w:r>
    </w:p>
    <w:p>
      <w:pPr>
        <w:spacing w:after="0" w:line="117"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Loss from operations in the full year of 2021 was RMB23.2 million (US$3.6 million), compared to an income of RMB318.3 million in the full year of 2020. This decrease was mainly due to loss on risk assurance liabilities and provision for credit losses, as well as the decrease in gross profit margins of automotive financing facilitation and after-market services facilitation businesses.</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FAIR VALUE CHANGE OF EQUITY INVESTMENT</w:t>
      </w:r>
    </w:p>
    <w:p>
      <w:pPr>
        <w:spacing w:after="0" w:line="117" w:lineRule="exact"/>
        <w:rPr>
          <w:sz w:val="20"/>
          <w:szCs w:val="20"/>
          <w:color w:val="auto"/>
        </w:rPr>
      </w:pPr>
    </w:p>
    <w:p>
      <w:pPr>
        <w:ind w:right="1140"/>
        <w:spacing w:after="0" w:line="308" w:lineRule="auto"/>
        <w:rPr>
          <w:sz w:val="20"/>
          <w:szCs w:val="20"/>
          <w:color w:val="auto"/>
        </w:rPr>
      </w:pPr>
      <w:r>
        <w:rPr>
          <w:rFonts w:ascii="Arial" w:cs="Arial" w:eastAsia="Arial" w:hAnsi="Arial"/>
          <w:sz w:val="17"/>
          <w:szCs w:val="17"/>
          <w:color w:val="auto"/>
        </w:rPr>
        <w:t>Fair value change of equity investment in the full year of 2021 was a loss of RMB37.0 million (US$5.8 million) compared with a gain of RMB3,315.5 million in the full year of 2020. The loss in the year of 2021 was mainly due to the investment in Li Auto.</w:t>
      </w:r>
    </w:p>
    <w:p>
      <w:pPr>
        <w:spacing w:after="0" w:line="7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ectPr>
          <w:pgSz w:w="11900" w:h="16838" w:orient="portrait"/>
          <w:cols w:equalWidth="0" w:num="1">
            <w:col w:w="11000"/>
          </w:cols>
          <w:pgMar w:left="440" w:top="274" w:right="459" w:bottom="1440" w:gutter="0" w:footer="0" w:header="0"/>
        </w:sectPr>
      </w:pPr>
    </w:p>
    <w:bookmarkStart w:id="8" w:name="page9"/>
    <w:bookmarkEnd w:id="8"/>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NET LOSS</w:t>
      </w:r>
    </w:p>
    <w:p>
      <w:pPr>
        <w:spacing w:after="0" w:line="117" w:lineRule="exact"/>
        <w:rPr>
          <w:sz w:val="20"/>
          <w:szCs w:val="20"/>
          <w:color w:val="auto"/>
        </w:rPr>
      </w:pPr>
    </w:p>
    <w:p>
      <w:pPr>
        <w:spacing w:after="0"/>
        <w:rPr>
          <w:sz w:val="20"/>
          <w:szCs w:val="20"/>
          <w:color w:val="auto"/>
        </w:rPr>
      </w:pPr>
      <w:r>
        <w:rPr>
          <w:rFonts w:ascii="Arial" w:cs="Arial" w:eastAsia="Arial" w:hAnsi="Arial"/>
          <w:sz w:val="17"/>
          <w:szCs w:val="17"/>
          <w:color w:val="auto"/>
        </w:rPr>
        <w:t>Net loss in the full year of 2021 was RMB8.5 million (US$1.3 million), compared with a net income of RMB3,373.4 million in the full year of 2020.</w:t>
      </w:r>
    </w:p>
    <w:p>
      <w:pPr>
        <w:spacing w:after="0" w:line="345" w:lineRule="exact"/>
        <w:rPr>
          <w:sz w:val="20"/>
          <w:szCs w:val="20"/>
          <w:color w:val="auto"/>
        </w:rPr>
      </w:pPr>
    </w:p>
    <w:p>
      <w:pPr>
        <w:spacing w:after="0"/>
        <w:rPr>
          <w:sz w:val="20"/>
          <w:szCs w:val="20"/>
          <w:color w:val="auto"/>
        </w:rPr>
      </w:pPr>
      <w:r>
        <w:rPr>
          <w:rFonts w:ascii="Arial" w:cs="Arial" w:eastAsia="Arial" w:hAnsi="Arial"/>
          <w:sz w:val="18"/>
          <w:szCs w:val="18"/>
          <w:color w:val="auto"/>
        </w:rPr>
        <w:t>NON-GAAP ADJUSTED NET INCOME</w:t>
      </w:r>
    </w:p>
    <w:p>
      <w:pPr>
        <w:spacing w:after="0" w:line="11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Non-GAAP adjusted net income in the full year of 2021 was RMB79.1 million (US$12.4 million), compared with RMB3,452.2 million in the full year of 2020. Non-GAAP adjusted net income excludes the impact of share-based compensation expenses. For further information, see “Use of Non-GAAP Financial Measure.”</w:t>
      </w:r>
    </w:p>
    <w:p>
      <w:pPr>
        <w:spacing w:after="0" w:line="292" w:lineRule="exact"/>
        <w:rPr>
          <w:sz w:val="20"/>
          <w:szCs w:val="20"/>
          <w:color w:val="auto"/>
        </w:rPr>
      </w:pPr>
    </w:p>
    <w:p>
      <w:pPr>
        <w:spacing w:after="0"/>
        <w:rPr>
          <w:sz w:val="20"/>
          <w:szCs w:val="20"/>
          <w:color w:val="auto"/>
        </w:rPr>
      </w:pPr>
      <w:r>
        <w:rPr>
          <w:rFonts w:ascii="Arial" w:cs="Arial" w:eastAsia="Arial" w:hAnsi="Arial"/>
          <w:sz w:val="18"/>
          <w:szCs w:val="18"/>
          <w:color w:val="auto"/>
        </w:rPr>
        <w:t>NET LOSS PER ADS</w:t>
      </w:r>
    </w:p>
    <w:p>
      <w:pPr>
        <w:spacing w:after="0" w:line="117" w:lineRule="exact"/>
        <w:rPr>
          <w:sz w:val="20"/>
          <w:szCs w:val="20"/>
          <w:color w:val="auto"/>
        </w:rPr>
      </w:pPr>
    </w:p>
    <w:p>
      <w:pPr>
        <w:spacing w:after="0"/>
        <w:rPr>
          <w:sz w:val="20"/>
          <w:szCs w:val="20"/>
          <w:color w:val="auto"/>
        </w:rPr>
      </w:pPr>
      <w:r>
        <w:rPr>
          <w:rFonts w:ascii="Arial" w:cs="Arial" w:eastAsia="Arial" w:hAnsi="Arial"/>
          <w:sz w:val="18"/>
          <w:szCs w:val="18"/>
          <w:color w:val="auto"/>
        </w:rPr>
        <w:t>Basic and diluted net loss per ADS in the full year of 2021 were RMB0.06 (US$0.01) and RMB0.06 (US$0.01), respectively.</w:t>
      </w:r>
    </w:p>
    <w:p>
      <w:pPr>
        <w:spacing w:after="0" w:line="333" w:lineRule="exact"/>
        <w:rPr>
          <w:sz w:val="20"/>
          <w:szCs w:val="20"/>
          <w:color w:val="auto"/>
        </w:rPr>
      </w:pPr>
    </w:p>
    <w:p>
      <w:pPr>
        <w:spacing w:after="0"/>
        <w:rPr>
          <w:sz w:val="20"/>
          <w:szCs w:val="20"/>
          <w:color w:val="auto"/>
        </w:rPr>
      </w:pPr>
      <w:r>
        <w:rPr>
          <w:rFonts w:ascii="Arial" w:cs="Arial" w:eastAsia="Arial" w:hAnsi="Arial"/>
          <w:sz w:val="18"/>
          <w:szCs w:val="18"/>
          <w:color w:val="auto"/>
        </w:rPr>
        <w:t>NON-GAAP ADJUSTED NET INCOME PER ADS</w:t>
      </w:r>
    </w:p>
    <w:p>
      <w:pPr>
        <w:spacing w:after="0" w:line="117" w:lineRule="exact"/>
        <w:rPr>
          <w:sz w:val="20"/>
          <w:szCs w:val="20"/>
          <w:color w:val="auto"/>
        </w:rPr>
      </w:pPr>
    </w:p>
    <w:p>
      <w:pPr>
        <w:spacing w:after="0"/>
        <w:rPr>
          <w:sz w:val="20"/>
          <w:szCs w:val="20"/>
          <w:color w:val="auto"/>
        </w:rPr>
      </w:pPr>
      <w:r>
        <w:rPr>
          <w:rFonts w:ascii="Arial" w:cs="Arial" w:eastAsia="Arial" w:hAnsi="Arial"/>
          <w:sz w:val="16"/>
          <w:szCs w:val="16"/>
          <w:color w:val="auto"/>
        </w:rPr>
        <w:t>Non-GAAP adjusted basic and diluted net income per ADS in the full year of 2021 were RMB0.55 (US$0.09) and RMB0.54 (US$0.08), respectively.</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Each ADS represents two Class A ordinary shares of the Company.</w:t>
      </w:r>
    </w:p>
    <w:p>
      <w:pPr>
        <w:spacing w:after="0" w:line="31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Outlook</w:t>
      </w:r>
    </w:p>
    <w:p>
      <w:pPr>
        <w:spacing w:after="0" w:line="121" w:lineRule="exact"/>
        <w:rPr>
          <w:sz w:val="20"/>
          <w:szCs w:val="20"/>
          <w:color w:val="auto"/>
        </w:rPr>
      </w:pPr>
    </w:p>
    <w:p>
      <w:pPr>
        <w:ind w:right="420"/>
        <w:spacing w:after="0" w:line="308" w:lineRule="auto"/>
        <w:rPr>
          <w:sz w:val="20"/>
          <w:szCs w:val="20"/>
          <w:color w:val="auto"/>
        </w:rPr>
      </w:pPr>
      <w:r>
        <w:rPr>
          <w:rFonts w:ascii="Arial" w:cs="Arial" w:eastAsia="Arial" w:hAnsi="Arial"/>
          <w:sz w:val="17"/>
          <w:szCs w:val="17"/>
          <w:color w:val="auto"/>
        </w:rPr>
        <w:t>For the first quarter of 2022, the Company expects total revenues to be between RMB700 million and RMB750 million. This forecast reflects the Company’s current and preliminary views on the market and operational conditions, which are subject to change.</w:t>
      </w:r>
    </w:p>
    <w:p>
      <w:pPr>
        <w:spacing w:after="0" w:line="25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Share Repurchase Program</w:t>
      </w:r>
    </w:p>
    <w:p>
      <w:pPr>
        <w:spacing w:after="0" w:line="121" w:lineRule="exact"/>
        <w:rPr>
          <w:sz w:val="20"/>
          <w:szCs w:val="20"/>
          <w:color w:val="auto"/>
        </w:rPr>
      </w:pPr>
    </w:p>
    <w:p>
      <w:pPr>
        <w:ind w:right="180"/>
        <w:spacing w:after="0" w:line="277" w:lineRule="auto"/>
        <w:rPr>
          <w:sz w:val="20"/>
          <w:szCs w:val="20"/>
          <w:color w:val="auto"/>
        </w:rPr>
      </w:pPr>
      <w:r>
        <w:rPr>
          <w:rFonts w:ascii="Arial" w:cs="Arial" w:eastAsia="Arial" w:hAnsi="Arial"/>
          <w:sz w:val="18"/>
          <w:szCs w:val="18"/>
          <w:color w:val="auto"/>
        </w:rPr>
        <w:t>Pursuant to the share repurchase program announced on August 19, 2021, the Company had repurchased 5,103,721 ADSs with cash in the aggregate amount of approximately US$20.1 million up to December 31, 2021.</w:t>
      </w:r>
    </w:p>
    <w:p>
      <w:pPr>
        <w:spacing w:after="0" w:line="27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121" w:lineRule="exact"/>
        <w:rPr>
          <w:sz w:val="20"/>
          <w:szCs w:val="20"/>
          <w:color w:val="auto"/>
        </w:rPr>
      </w:pPr>
    </w:p>
    <w:p>
      <w:pPr>
        <w:spacing w:after="0"/>
        <w:rPr>
          <w:sz w:val="20"/>
          <w:szCs w:val="20"/>
          <w:color w:val="auto"/>
        </w:rPr>
      </w:pPr>
      <w:r>
        <w:rPr>
          <w:rFonts w:ascii="Arial" w:cs="Arial" w:eastAsia="Arial" w:hAnsi="Arial"/>
          <w:sz w:val="16"/>
          <w:szCs w:val="16"/>
          <w:color w:val="auto"/>
        </w:rPr>
        <w:t>The Company’s management will hold a conference call on Thursday, March 10, 2022, at 8:00 P.M. Eastern Time or Friday, March 11, 2022, at 9:00</w:t>
      </w:r>
    </w:p>
    <w:p>
      <w:pPr>
        <w:spacing w:after="0" w:line="46" w:lineRule="exact"/>
        <w:rPr>
          <w:sz w:val="20"/>
          <w:szCs w:val="20"/>
          <w:color w:val="auto"/>
        </w:rPr>
      </w:pPr>
    </w:p>
    <w:p>
      <w:pPr>
        <w:spacing w:after="0"/>
        <w:rPr>
          <w:sz w:val="20"/>
          <w:szCs w:val="20"/>
          <w:color w:val="auto"/>
        </w:rPr>
      </w:pPr>
      <w:r>
        <w:rPr>
          <w:rFonts w:ascii="Arial" w:cs="Arial" w:eastAsia="Arial" w:hAnsi="Arial"/>
          <w:sz w:val="18"/>
          <w:szCs w:val="18"/>
          <w:color w:val="auto"/>
        </w:rPr>
        <w:t>A.M. Beijing Time to discuss the financial results. Listeners may access the call by dialing the following numbers:</w:t>
      </w:r>
    </w:p>
    <w:p>
      <w:pPr>
        <w:spacing w:after="0" w:line="238"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International:</w:t>
            </w:r>
          </w:p>
        </w:tc>
        <w:tc>
          <w:tcPr>
            <w:tcW w:w="2380" w:type="dxa"/>
            <w:vAlign w:val="bottom"/>
          </w:tcPr>
          <w:p>
            <w:pPr>
              <w:ind w:left="1040"/>
              <w:spacing w:after="0"/>
              <w:rPr>
                <w:sz w:val="20"/>
                <w:szCs w:val="20"/>
                <w:color w:val="auto"/>
              </w:rPr>
            </w:pPr>
            <w:r>
              <w:rPr>
                <w:rFonts w:ascii="Arial" w:cs="Arial" w:eastAsia="Arial" w:hAnsi="Arial"/>
                <w:sz w:val="18"/>
                <w:szCs w:val="18"/>
                <w:color w:val="auto"/>
                <w:w w:val="95"/>
              </w:rPr>
              <w:t>+1-412-902-4272</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380" w:type="dxa"/>
            <w:vAlign w:val="bottom"/>
          </w:tcPr>
          <w:p>
            <w:pPr>
              <w:ind w:left="1040"/>
              <w:spacing w:after="0"/>
              <w:rPr>
                <w:sz w:val="20"/>
                <w:szCs w:val="20"/>
                <w:color w:val="auto"/>
              </w:rPr>
            </w:pPr>
            <w:r>
              <w:rPr>
                <w:rFonts w:ascii="Arial" w:cs="Arial" w:eastAsia="Arial" w:hAnsi="Arial"/>
                <w:sz w:val="18"/>
                <w:szCs w:val="18"/>
                <w:color w:val="auto"/>
                <w:w w:val="95"/>
              </w:rPr>
              <w:t>+1-888-346-8982</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Mainland China Toll Free:</w:t>
            </w:r>
          </w:p>
        </w:tc>
        <w:tc>
          <w:tcPr>
            <w:tcW w:w="2380" w:type="dxa"/>
            <w:vAlign w:val="bottom"/>
          </w:tcPr>
          <w:p>
            <w:pPr>
              <w:ind w:left="1040"/>
              <w:spacing w:after="0"/>
              <w:rPr>
                <w:sz w:val="20"/>
                <w:szCs w:val="20"/>
                <w:color w:val="auto"/>
              </w:rPr>
            </w:pPr>
            <w:r>
              <w:rPr>
                <w:rFonts w:ascii="Arial" w:cs="Arial" w:eastAsia="Arial" w:hAnsi="Arial"/>
                <w:sz w:val="18"/>
                <w:szCs w:val="18"/>
                <w:color w:val="auto"/>
              </w:rPr>
              <w:t>4001-201-203</w:t>
            </w:r>
          </w:p>
        </w:tc>
      </w:tr>
      <w:tr>
        <w:trPr>
          <w:trHeight w:val="216"/>
        </w:trPr>
        <w:tc>
          <w:tcPr>
            <w:tcW w:w="3160" w:type="dxa"/>
            <w:vAlign w:val="bottom"/>
          </w:tcPr>
          <w:p>
            <w:pPr>
              <w:spacing w:after="0"/>
              <w:rPr>
                <w:sz w:val="20"/>
                <w:szCs w:val="20"/>
                <w:color w:val="auto"/>
              </w:rPr>
            </w:pPr>
            <w:r>
              <w:rPr>
                <w:rFonts w:ascii="Arial" w:cs="Arial" w:eastAsia="Arial" w:hAnsi="Arial"/>
                <w:sz w:val="18"/>
                <w:szCs w:val="18"/>
                <w:color w:val="auto"/>
              </w:rPr>
              <w:t>Hong Kong, China Toll Free:</w:t>
            </w:r>
          </w:p>
        </w:tc>
        <w:tc>
          <w:tcPr>
            <w:tcW w:w="2380" w:type="dxa"/>
            <w:vAlign w:val="bottom"/>
          </w:tcPr>
          <w:p>
            <w:pPr>
              <w:ind w:left="1040"/>
              <w:spacing w:after="0"/>
              <w:rPr>
                <w:sz w:val="20"/>
                <w:szCs w:val="20"/>
                <w:color w:val="auto"/>
              </w:rPr>
            </w:pPr>
            <w:r>
              <w:rPr>
                <w:rFonts w:ascii="Arial" w:cs="Arial" w:eastAsia="Arial" w:hAnsi="Arial"/>
                <w:sz w:val="18"/>
                <w:szCs w:val="18"/>
                <w:color w:val="auto"/>
              </w:rPr>
              <w:t>800-905-945</w:t>
            </w:r>
          </w:p>
        </w:tc>
      </w:tr>
      <w:tr>
        <w:trPr>
          <w:trHeight w:val="230"/>
        </w:trPr>
        <w:tc>
          <w:tcPr>
            <w:tcW w:w="3160" w:type="dxa"/>
            <w:vAlign w:val="bottom"/>
          </w:tcPr>
          <w:p>
            <w:pPr>
              <w:spacing w:after="0"/>
              <w:rPr>
                <w:sz w:val="20"/>
                <w:szCs w:val="20"/>
                <w:color w:val="auto"/>
              </w:rPr>
            </w:pPr>
            <w:r>
              <w:rPr>
                <w:rFonts w:ascii="Arial" w:cs="Arial" w:eastAsia="Arial" w:hAnsi="Arial"/>
                <w:sz w:val="18"/>
                <w:szCs w:val="18"/>
                <w:color w:val="auto"/>
              </w:rPr>
              <w:t>Conference ID:</w:t>
            </w:r>
          </w:p>
        </w:tc>
        <w:tc>
          <w:tcPr>
            <w:tcW w:w="2380" w:type="dxa"/>
            <w:vAlign w:val="bottom"/>
          </w:tcPr>
          <w:p>
            <w:pPr>
              <w:ind w:left="1040"/>
              <w:spacing w:after="0"/>
              <w:rPr>
                <w:sz w:val="20"/>
                <w:szCs w:val="20"/>
                <w:color w:val="auto"/>
              </w:rPr>
            </w:pPr>
            <w:r>
              <w:rPr>
                <w:rFonts w:ascii="Arial" w:cs="Arial" w:eastAsia="Arial" w:hAnsi="Arial"/>
                <w:sz w:val="18"/>
                <w:szCs w:val="18"/>
                <w:color w:val="auto"/>
              </w:rPr>
              <w:t>Cango Inc.</w:t>
            </w:r>
          </w:p>
        </w:tc>
      </w:tr>
      <w:tr>
        <w:trPr>
          <w:trHeight w:val="364"/>
        </w:trPr>
        <w:tc>
          <w:tcPr>
            <w:tcW w:w="3160" w:type="dxa"/>
            <w:vAlign w:val="bottom"/>
          </w:tcPr>
          <w:p>
            <w:pPr>
              <w:spacing w:after="0"/>
              <w:rPr>
                <w:sz w:val="24"/>
                <w:szCs w:val="24"/>
                <w:color w:val="auto"/>
              </w:rPr>
            </w:pPr>
          </w:p>
        </w:tc>
        <w:tc>
          <w:tcPr>
            <w:tcW w:w="2380" w:type="dxa"/>
            <w:vAlign w:val="bottom"/>
          </w:tcPr>
          <w:p>
            <w:pPr>
              <w:ind w:left="2300"/>
              <w:spacing w:after="0"/>
              <w:rPr>
                <w:sz w:val="20"/>
                <w:szCs w:val="20"/>
                <w:color w:val="auto"/>
              </w:rPr>
            </w:pPr>
            <w:r>
              <w:rPr>
                <w:rFonts w:ascii="Arial" w:cs="Arial" w:eastAsia="Arial" w:hAnsi="Arial"/>
                <w:sz w:val="15"/>
                <w:szCs w:val="15"/>
                <w:color w:val="auto"/>
                <w:w w:val="71"/>
              </w:rPr>
              <w:t>6</w:t>
            </w:r>
          </w:p>
        </w:tc>
      </w:tr>
    </w:tbl>
    <w:p>
      <w:pPr>
        <w:sectPr>
          <w:pgSz w:w="11900" w:h="16838" w:orient="portrait"/>
          <w:cols w:equalWidth="0" w:num="1">
            <w:col w:w="10880"/>
          </w:cols>
          <w:pgMar w:left="440" w:top="274" w:right="579" w:bottom="1440" w:gutter="0" w:footer="0" w:header="0"/>
        </w:sectPr>
      </w:pPr>
    </w:p>
    <w:bookmarkStart w:id="9" w:name="page10"/>
    <w:bookmarkEnd w:id="9"/>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74865" cy="38100"/>
                    </a:xfrm>
                    <a:prstGeom prst="rect">
                      <a:avLst/>
                    </a:prstGeom>
                    <a:noFill/>
                  </pic:spPr>
                </pic:pic>
              </a:graphicData>
            </a:graphic>
          </wp:anchor>
        </w:drawing>
        <w:t>The replay will be accessible through March 17, 2022, by dialing the following numbers:</w:t>
      </w: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International:</w:t>
            </w:r>
          </w:p>
        </w:tc>
        <w:tc>
          <w:tcPr>
            <w:tcW w:w="2500" w:type="dxa"/>
            <w:vAlign w:val="bottom"/>
          </w:tcPr>
          <w:p>
            <w:pPr>
              <w:ind w:left="1240"/>
              <w:spacing w:after="0"/>
              <w:rPr>
                <w:sz w:val="20"/>
                <w:szCs w:val="20"/>
                <w:color w:val="auto"/>
              </w:rPr>
            </w:pPr>
            <w:r>
              <w:rPr>
                <w:rFonts w:ascii="Arial" w:cs="Arial" w:eastAsia="Arial" w:hAnsi="Arial"/>
                <w:sz w:val="18"/>
                <w:szCs w:val="18"/>
                <w:color w:val="auto"/>
                <w:w w:val="89"/>
              </w:rPr>
              <w:t>+1-412-317-0088</w:t>
            </w:r>
          </w:p>
        </w:tc>
      </w:tr>
      <w:tr>
        <w:trPr>
          <w:trHeight w:val="216"/>
        </w:trPr>
        <w:tc>
          <w:tcPr>
            <w:tcW w:w="2960" w:type="dxa"/>
            <w:vAlign w:val="bottom"/>
          </w:tcPr>
          <w:p>
            <w:pPr>
              <w:spacing w:after="0"/>
              <w:rPr>
                <w:sz w:val="20"/>
                <w:szCs w:val="20"/>
                <w:color w:val="auto"/>
              </w:rPr>
            </w:pPr>
            <w:r>
              <w:rPr>
                <w:rFonts w:ascii="Arial" w:cs="Arial" w:eastAsia="Arial" w:hAnsi="Arial"/>
                <w:sz w:val="18"/>
                <w:szCs w:val="18"/>
                <w:color w:val="auto"/>
              </w:rPr>
              <w:t>United States Toll Free:</w:t>
            </w:r>
          </w:p>
        </w:tc>
        <w:tc>
          <w:tcPr>
            <w:tcW w:w="2500" w:type="dxa"/>
            <w:vAlign w:val="bottom"/>
          </w:tcPr>
          <w:p>
            <w:pPr>
              <w:ind w:left="1240"/>
              <w:spacing w:after="0"/>
              <w:rPr>
                <w:sz w:val="20"/>
                <w:szCs w:val="20"/>
                <w:color w:val="auto"/>
              </w:rPr>
            </w:pPr>
            <w:r>
              <w:rPr>
                <w:rFonts w:ascii="Arial" w:cs="Arial" w:eastAsia="Arial" w:hAnsi="Arial"/>
                <w:sz w:val="18"/>
                <w:szCs w:val="18"/>
                <w:color w:val="auto"/>
                <w:w w:val="89"/>
              </w:rPr>
              <w:t>+1-877-344-7529</w:t>
            </w:r>
          </w:p>
        </w:tc>
      </w:tr>
      <w:tr>
        <w:trPr>
          <w:trHeight w:val="230"/>
        </w:trPr>
        <w:tc>
          <w:tcPr>
            <w:tcW w:w="2960" w:type="dxa"/>
            <w:vAlign w:val="bottom"/>
          </w:tcPr>
          <w:p>
            <w:pPr>
              <w:spacing w:after="0"/>
              <w:rPr>
                <w:sz w:val="20"/>
                <w:szCs w:val="20"/>
                <w:color w:val="auto"/>
              </w:rPr>
            </w:pPr>
            <w:r>
              <w:rPr>
                <w:rFonts w:ascii="Arial" w:cs="Arial" w:eastAsia="Arial" w:hAnsi="Arial"/>
                <w:sz w:val="18"/>
                <w:szCs w:val="18"/>
                <w:color w:val="auto"/>
              </w:rPr>
              <w:t>Access Code:</w:t>
            </w:r>
          </w:p>
        </w:tc>
        <w:tc>
          <w:tcPr>
            <w:tcW w:w="2500" w:type="dxa"/>
            <w:vAlign w:val="bottom"/>
          </w:tcPr>
          <w:p>
            <w:pPr>
              <w:ind w:left="1240"/>
              <w:spacing w:after="0"/>
              <w:rPr>
                <w:sz w:val="20"/>
                <w:szCs w:val="20"/>
                <w:color w:val="auto"/>
              </w:rPr>
            </w:pPr>
            <w:r>
              <w:rPr>
                <w:rFonts w:ascii="Arial" w:cs="Arial" w:eastAsia="Arial" w:hAnsi="Arial"/>
                <w:sz w:val="18"/>
                <w:szCs w:val="18"/>
                <w:color w:val="auto"/>
              </w:rPr>
              <w:t>9317290</w:t>
            </w:r>
          </w:p>
        </w:tc>
      </w:tr>
    </w:tbl>
    <w:p>
      <w:pPr>
        <w:spacing w:after="0" w:line="202" w:lineRule="exact"/>
        <w:rPr>
          <w:sz w:val="20"/>
          <w:szCs w:val="20"/>
          <w:color w:val="auto"/>
        </w:rPr>
      </w:pPr>
    </w:p>
    <w:p>
      <w:pPr>
        <w:spacing w:after="0"/>
        <w:rPr>
          <w:sz w:val="20"/>
          <w:szCs w:val="20"/>
          <w:color w:val="auto"/>
        </w:rPr>
      </w:pPr>
      <w:r>
        <w:rPr>
          <w:rFonts w:ascii="Arial" w:cs="Arial" w:eastAsia="Arial" w:hAnsi="Arial"/>
          <w:sz w:val="17"/>
          <w:szCs w:val="17"/>
          <w:color w:val="auto"/>
        </w:rPr>
        <w:t xml:space="preserve">A live and archived webcast of the conference call will also be available at the Company’s investor relations website at </w:t>
      </w:r>
      <w:r>
        <w:rPr>
          <w:rFonts w:ascii="Arial" w:cs="Arial" w:eastAsia="Arial" w:hAnsi="Arial"/>
          <w:sz w:val="17"/>
          <w:szCs w:val="17"/>
          <w:u w:val="single" w:color="auto"/>
          <w:color w:val="auto"/>
        </w:rPr>
        <w:t>http://ir.cangoonline.com/</w:t>
      </w:r>
      <w:r>
        <w:rPr>
          <w:rFonts w:ascii="Arial" w:cs="Arial" w:eastAsia="Arial" w:hAnsi="Arial"/>
          <w:sz w:val="17"/>
          <w:szCs w:val="17"/>
          <w:color w:val="auto"/>
        </w:rPr>
        <w:t>.</w:t>
      </w:r>
    </w:p>
    <w:p>
      <w:pPr>
        <w:spacing w:after="0" w:line="34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Cango Inc.</w:t>
      </w:r>
    </w:p>
    <w:p>
      <w:pPr>
        <w:spacing w:after="0" w:line="121" w:lineRule="exact"/>
        <w:rPr>
          <w:sz w:val="20"/>
          <w:szCs w:val="20"/>
          <w:color w:val="auto"/>
        </w:rPr>
      </w:pPr>
    </w:p>
    <w:p>
      <w:pPr>
        <w:spacing w:after="0" w:line="254" w:lineRule="auto"/>
        <w:rPr>
          <w:sz w:val="20"/>
          <w:szCs w:val="20"/>
          <w:color w:val="auto"/>
        </w:rPr>
      </w:pPr>
      <w:r>
        <w:rPr>
          <w:rFonts w:ascii="Arial" w:cs="Arial" w:eastAsia="Arial" w:hAnsi="Arial"/>
          <w:sz w:val="18"/>
          <w:szCs w:val="18"/>
          <w:color w:val="auto"/>
        </w:rPr>
        <w:t xml:space="preserve">Cango Inc. (NYSE: CANG) is a leading automotive transaction service platform in China connecting dealers, financial institutions, car buyers, and other industry participants. Founded in 2010 by a group of pioneers in China’s automotive finance industry, the Company is headquartered in Shanghai and engages car buyers through a nationwide dealer network. The Company’s services primarily consist of automotive financing facilitation, car trading transactions, and after-market services facilitation. By utilizing its competitive advantages in technology, data insights, and cloud-based infrastructure, Cango is able to connect its platform participants while bringing them a premium user experience. Cango’s platform model puts it in a unique position to add value for its platform participants and business partners as the automotive and mobility markets in China continue to grow and evolve. For more information, please visit: </w:t>
      </w:r>
      <w:r>
        <w:rPr>
          <w:rFonts w:ascii="Arial" w:cs="Arial" w:eastAsia="Arial" w:hAnsi="Arial"/>
          <w:sz w:val="18"/>
          <w:szCs w:val="18"/>
          <w:u w:val="single" w:color="auto"/>
          <w:color w:val="auto"/>
        </w:rPr>
        <w:t>www.cangoonline.com</w:t>
      </w:r>
      <w:r>
        <w:rPr>
          <w:rFonts w:ascii="Arial" w:cs="Arial" w:eastAsia="Arial" w:hAnsi="Arial"/>
          <w:sz w:val="18"/>
          <w:szCs w:val="18"/>
          <w:color w:val="auto"/>
        </w:rPr>
        <w:t>.</w:t>
      </w:r>
    </w:p>
    <w:p>
      <w:pPr>
        <w:spacing w:after="0" w:line="29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Definition of Overdue Ratios</w:t>
      </w:r>
    </w:p>
    <w:p>
      <w:pPr>
        <w:spacing w:after="0" w:line="121"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“M1+ overdue ratio” as (i) exposure at risk relating to financing transactions for which any installment payment is 30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184" w:lineRule="exact"/>
        <w:rPr>
          <w:sz w:val="20"/>
          <w:szCs w:val="20"/>
          <w:color w:val="auto"/>
        </w:rPr>
      </w:pPr>
    </w:p>
    <w:p>
      <w:pPr>
        <w:ind w:right="220"/>
        <w:spacing w:after="0" w:line="263" w:lineRule="auto"/>
        <w:rPr>
          <w:sz w:val="20"/>
          <w:szCs w:val="20"/>
          <w:color w:val="auto"/>
        </w:rPr>
      </w:pPr>
      <w:r>
        <w:rPr>
          <w:rFonts w:ascii="Arial" w:cs="Arial" w:eastAsia="Arial" w:hAnsi="Arial"/>
          <w:sz w:val="18"/>
          <w:szCs w:val="18"/>
          <w:color w:val="auto"/>
        </w:rPr>
        <w:t>The Company defines “M3+ overdue ratio” as (i) exposure at risk relating to financing transactions for which any installment payment is 90 to 179 calendar days past due as of a specified date, divided by (ii) exposure at risk relating to all financing transactions which remain outstanding as of such date, excluding amounts of outstanding principal that are 180 calendar days or more past due.</w:t>
      </w:r>
    </w:p>
    <w:p>
      <w:pPr>
        <w:spacing w:after="0" w:line="28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Use of Non-GAAP Financial Measure</w:t>
      </w:r>
    </w:p>
    <w:p>
      <w:pPr>
        <w:spacing w:after="0" w:line="121" w:lineRule="exact"/>
        <w:rPr>
          <w:sz w:val="20"/>
          <w:szCs w:val="20"/>
          <w:color w:val="auto"/>
        </w:rPr>
      </w:pPr>
    </w:p>
    <w:p>
      <w:pPr>
        <w:spacing w:after="0" w:line="272" w:lineRule="auto"/>
        <w:rPr>
          <w:sz w:val="20"/>
          <w:szCs w:val="20"/>
          <w:color w:val="auto"/>
        </w:rPr>
      </w:pPr>
      <w:r>
        <w:rPr>
          <w:rFonts w:ascii="Arial" w:cs="Arial" w:eastAsia="Arial" w:hAnsi="Arial"/>
          <w:sz w:val="17"/>
          <w:szCs w:val="17"/>
          <w:color w:val="auto"/>
        </w:rPr>
        <w:t>In evaluating the business, the Company considers and uses Non-GAAP adjusted net income, a non-GAAP measure, as a supplemental measure to review and assess its operating performance. The presentation of the non-GAAP financial measure is not intended to be considered in isolation or as a substitute for the financial information prepared and presented in accordance with U.S. GAAP. The Company defines Non-GAAP adjusted net income as net income excluding share-based compensation expenses. The Company presents the non-GAAP financial measure because it is used by the management to evaluate the operating performance and formulate business plans. Non-GAAP adjusted net income enables the management to assess the Company’s operating results without considering the impact of share-based compensation expenses, which are non-cash charges. The Company also believes that the use of the non-GAAP measure facilitates investors’ assessment of its operating performance.</w:t>
      </w:r>
    </w:p>
    <w:p>
      <w:pPr>
        <w:spacing w:after="0" w:line="11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ectPr>
          <w:pgSz w:w="11900" w:h="16838" w:orient="portrait"/>
          <w:cols w:equalWidth="0" w:num="1">
            <w:col w:w="11000"/>
          </w:cols>
          <w:pgMar w:left="440" w:top="274" w:right="459" w:bottom="1440" w:gutter="0" w:footer="0" w:header="0"/>
        </w:sectPr>
      </w:pPr>
    </w:p>
    <w:bookmarkStart w:id="10" w:name="page11"/>
    <w:bookmarkEnd w:id="10"/>
    <w:p>
      <w:pPr>
        <w:ind w:right="80"/>
        <w:spacing w:after="0" w:line="290" w:lineRule="auto"/>
        <w:rPr>
          <w:sz w:val="20"/>
          <w:szCs w:val="20"/>
          <w:color w:val="auto"/>
        </w:rPr>
      </w:pPr>
      <w:r>
        <w:rPr>
          <w:rFonts w:ascii="Arial" w:cs="Arial" w:eastAsia="Arial" w:hAnsi="Arial"/>
          <w:sz w:val="16"/>
          <w:szCs w:val="16"/>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74865" cy="38735"/>
                    </a:xfrm>
                    <a:prstGeom prst="rect">
                      <a:avLst/>
                    </a:prstGeom>
                    <a:noFill/>
                  </pic:spPr>
                </pic:pic>
              </a:graphicData>
            </a:graphic>
          </wp:anchor>
        </w:drawing>
        <w:t>Non-GAAP adjusted net income is not defined under U.S. GAAP and is not presented in accordance with U.S. GAAP. This non-GAAP financial measure has limitations as analytical tools. One of the key limitations of using Non-GAAP adjusted net income is that it does not reflect all items of expense that affect the Company’s operations. Share-based compensation expenses have been and may continue to be incurred in the business and are not reflected in the presentation of Non-GAAP adjusted net income. Further, the non-GAAP measure may differ from the non-GAAP information used by other companies, including peer companies, and therefore their comparability may be limited. The Company compensates for these limitations by reconciling the non-GAAP financial measure to the nearest U.S. GAAP performance measure, all of which should be considered when evaluating the Company’s performance. The Company encourages you to review its financial information in its entirety and not rely on a single financial measure. Reconciliations of Cango’s non-GAAP financial measure to the most comparable U.S. GAAP measure are included at the end of this press release.</w:t>
      </w:r>
    </w:p>
    <w:p>
      <w:pPr>
        <w:spacing w:after="0" w:line="26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Exchange Rate Information</w:t>
      </w:r>
    </w:p>
    <w:p>
      <w:pPr>
        <w:spacing w:after="0" w:line="121" w:lineRule="exact"/>
        <w:rPr>
          <w:sz w:val="20"/>
          <w:szCs w:val="20"/>
          <w:color w:val="auto"/>
        </w:rPr>
      </w:pPr>
    </w:p>
    <w:p>
      <w:pPr>
        <w:ind w:right="80"/>
        <w:spacing w:after="0" w:line="279" w:lineRule="auto"/>
        <w:rPr>
          <w:sz w:val="20"/>
          <w:szCs w:val="20"/>
          <w:color w:val="auto"/>
        </w:rPr>
      </w:pPr>
      <w:r>
        <w:rPr>
          <w:rFonts w:ascii="Arial" w:cs="Arial" w:eastAsia="Arial" w:hAnsi="Arial"/>
          <w:sz w:val="17"/>
          <w:szCs w:val="17"/>
          <w:color w:val="auto"/>
        </w:rPr>
        <w:t>This announcement contains translations of certain RMB amounts into U.S. dollars (“US$”) at specified rates solely for the convenience of the reader. Unless otherwise stated, all translations from RMB to US$ were made at the rate of RMB6.3726 to US$1.00, the noon buying rate in effect on December 30, 2021, in the H.10 statistical release of the Federal Reserve Board. The Company makes no representation that the RMB or US$ amounts referred could be converted into US$ or RMB, as the case may be, at any particular rate or at all.</w:t>
      </w:r>
    </w:p>
    <w:p>
      <w:pPr>
        <w:spacing w:after="0" w:line="27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121" w:lineRule="exact"/>
        <w:rPr>
          <w:sz w:val="20"/>
          <w:szCs w:val="20"/>
          <w:color w:val="auto"/>
        </w:rPr>
      </w:pPr>
    </w:p>
    <w:p>
      <w:pPr>
        <w:spacing w:after="0" w:line="268" w:lineRule="auto"/>
        <w:rPr>
          <w:sz w:val="20"/>
          <w:szCs w:val="20"/>
          <w:color w:val="auto"/>
        </w:rPr>
      </w:pPr>
      <w:r>
        <w:rPr>
          <w:rFonts w:ascii="Arial" w:cs="Arial" w:eastAsia="Arial" w:hAnsi="Arial"/>
          <w:sz w:val="17"/>
          <w:szCs w:val="17"/>
          <w:color w:val="auto"/>
        </w:rPr>
        <w:t>This announcement contains forward-looking statements. These statements are made under the “safe harbor” provisions of the United States Private Securities Litigation Reform Act of 1995. These forward-looking statements can be identified by terminology such as “will,” “expects,” “anticipates,” “future,” “intends,” “plans,” “believes,” “estimates” and similar statements. Among other things, the “Business Outlook” section and quotations from management in this announcement, contain forward-looking statements. Cango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Cango’s beliefs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Cango’s goal and strategies; Cango’s expansion plans; Cango’s future business development, financial condition and results of operations; Cango’s expectations regarding demand for, and market acceptance of, its solutions and services; Cango’s expectations regarding keeping and strengthening its relationships with dealers, financial institutions, car buyers and other platform participants; general economic and business conditions; and assumptions underlying or related to any of the foregoing. Further information regarding these and other risks is included in Cango’s filings with the SEC. All information provided in this press release and in the attachments is as of the date of this press release, and Cango does not undertake any obligation to update any forward-looking statement, except as required under applicable law.</w:t>
      </w:r>
    </w:p>
    <w:p>
      <w:pPr>
        <w:spacing w:after="0" w:line="117" w:lineRule="exact"/>
        <w:rPr>
          <w:sz w:val="20"/>
          <w:szCs w:val="20"/>
          <w:color w:val="auto"/>
        </w:rPr>
      </w:pPr>
    </w:p>
    <w:p>
      <w:pPr>
        <w:jc w:val="center"/>
        <w:ind w:right="-39"/>
        <w:spacing w:after="0"/>
        <w:rPr>
          <w:sz w:val="20"/>
          <w:szCs w:val="20"/>
          <w:color w:val="auto"/>
        </w:rPr>
      </w:pPr>
      <w:r>
        <w:rPr>
          <w:rFonts w:ascii="Arial" w:cs="Arial" w:eastAsia="Arial" w:hAnsi="Arial"/>
          <w:sz w:val="18"/>
          <w:szCs w:val="18"/>
          <w:color w:val="auto"/>
        </w:rPr>
        <w:t>8</w:t>
      </w:r>
    </w:p>
    <w:p>
      <w:pPr>
        <w:sectPr>
          <w:pgSz w:w="11900" w:h="16838" w:orient="portrait"/>
          <w:cols w:equalWidth="0" w:num="1">
            <w:col w:w="10960"/>
          </w:cols>
          <w:pgMar w:left="440" w:top="274" w:right="49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Investor Relations Contact</w:t>
      </w:r>
    </w:p>
    <w:p>
      <w:pPr>
        <w:spacing w:after="0" w:line="121" w:lineRule="exact"/>
        <w:rPr>
          <w:sz w:val="20"/>
          <w:szCs w:val="20"/>
          <w:color w:val="auto"/>
        </w:rPr>
      </w:pPr>
    </w:p>
    <w:p>
      <w:pPr>
        <w:spacing w:after="0"/>
        <w:rPr>
          <w:sz w:val="20"/>
          <w:szCs w:val="20"/>
          <w:color w:val="auto"/>
        </w:rPr>
      </w:pPr>
      <w:r>
        <w:rPr>
          <w:rFonts w:ascii="Arial" w:cs="Arial" w:eastAsia="Arial" w:hAnsi="Arial"/>
          <w:sz w:val="18"/>
          <w:szCs w:val="18"/>
          <w:color w:val="auto"/>
        </w:rPr>
        <w:t>Yihe Liu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Cango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3183 5088 ext.5581</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Twitter: https://twitter.com/Cango_Group</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Emilie Wu</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The Piacente Group, Inc.</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+86 21 6039 8363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w:t>
      </w:r>
      <w:r>
        <w:rPr>
          <w:rFonts w:ascii="Arial" w:cs="Arial" w:eastAsia="Arial" w:hAnsi="Arial"/>
          <w:sz w:val="18"/>
          <w:szCs w:val="18"/>
          <w:u w:val="single" w:color="auto"/>
          <w:color w:val="auto"/>
        </w:rPr>
        <w:t>ir@cangoonline.com</w:t>
      </w:r>
    </w:p>
    <w:p>
      <w:pPr>
        <w:spacing w:after="0" w:line="143" w:lineRule="exact"/>
        <w:rPr>
          <w:sz w:val="20"/>
          <w:szCs w:val="20"/>
          <w:color w:val="auto"/>
        </w:rPr>
      </w:pPr>
    </w:p>
    <w:p>
      <w:pPr>
        <w:jc w:val="right"/>
        <w:ind w:right="4479"/>
        <w:spacing w:after="0"/>
        <w:rPr>
          <w:sz w:val="20"/>
          <w:szCs w:val="20"/>
          <w:color w:val="auto"/>
        </w:rPr>
      </w:pPr>
      <w:r>
        <w:rPr>
          <w:rFonts w:ascii="Arial" w:cs="Arial" w:eastAsia="Arial" w:hAnsi="Arial"/>
          <w:sz w:val="18"/>
          <w:szCs w:val="18"/>
          <w:color w:val="auto"/>
        </w:rPr>
        <w:t>9</w:t>
      </w:r>
    </w:p>
    <w:p>
      <w:pPr>
        <w:sectPr>
          <w:pgSz w:w="11900" w:h="16838" w:orient="portrait"/>
          <w:cols w:equalWidth="0" w:num="1">
            <w:col w:w="10019"/>
          </w:cols>
          <w:pgMar w:left="440" w:top="270" w:right="1440" w:bottom="1440" w:gutter="0" w:footer="0" w:header="0"/>
        </w:sectPr>
      </w:pPr>
    </w:p>
    <w:bookmarkStart w:id="12" w:name="page13"/>
    <w:bookmarkEnd w:id="12"/>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UNAUDITED INTERIM CONDENSED CONSOLIDATED BALANCE SHEET</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6920" w:type="dxa"/>
            <w:vAlign w:val="bottom"/>
          </w:tcPr>
          <w:p>
            <w:pPr>
              <w:spacing w:after="0"/>
              <w:rPr>
                <w:sz w:val="14"/>
                <w:szCs w:val="14"/>
                <w:color w:val="auto"/>
              </w:rPr>
            </w:pPr>
          </w:p>
        </w:tc>
        <w:tc>
          <w:tcPr>
            <w:tcW w:w="1420" w:type="dxa"/>
            <w:vAlign w:val="bottom"/>
            <w:gridSpan w:val="3"/>
          </w:tcPr>
          <w:p>
            <w:pPr>
              <w:jc w:val="center"/>
              <w:ind w:right="220"/>
              <w:spacing w:after="0"/>
              <w:rPr>
                <w:sz w:val="20"/>
                <w:szCs w:val="20"/>
                <w:color w:val="auto"/>
              </w:rPr>
            </w:pPr>
            <w:r>
              <w:rPr>
                <w:rFonts w:ascii="Arial" w:cs="Arial" w:eastAsia="Arial" w:hAnsi="Arial"/>
                <w:sz w:val="14"/>
                <w:szCs w:val="14"/>
                <w:b w:val="1"/>
                <w:bCs w:val="1"/>
                <w:color w:val="auto"/>
                <w:w w:val="92"/>
              </w:rPr>
              <w:t>As of December 31,</w:t>
            </w:r>
          </w:p>
        </w:tc>
        <w:tc>
          <w:tcPr>
            <w:tcW w:w="2680" w:type="dxa"/>
            <w:vAlign w:val="bottom"/>
            <w:gridSpan w:val="4"/>
          </w:tcPr>
          <w:p>
            <w:pPr>
              <w:jc w:val="right"/>
              <w:ind w:right="820"/>
              <w:spacing w:after="0"/>
              <w:rPr>
                <w:sz w:val="20"/>
                <w:szCs w:val="20"/>
                <w:color w:val="auto"/>
              </w:rPr>
            </w:pPr>
            <w:r>
              <w:rPr>
                <w:rFonts w:ascii="Arial" w:cs="Arial" w:eastAsia="Arial" w:hAnsi="Arial"/>
                <w:sz w:val="14"/>
                <w:szCs w:val="14"/>
                <w:b w:val="1"/>
                <w:bCs w:val="1"/>
                <w:color w:val="auto"/>
              </w:rPr>
              <w:t>As of December 31,</w:t>
            </w:r>
          </w:p>
        </w:tc>
      </w:tr>
      <w:tr>
        <w:trPr>
          <w:trHeight w:val="171"/>
        </w:trPr>
        <w:tc>
          <w:tcPr>
            <w:tcW w:w="6920" w:type="dxa"/>
            <w:vAlign w:val="bottom"/>
          </w:tcPr>
          <w:p>
            <w:pPr>
              <w:spacing w:after="0"/>
              <w:rPr>
                <w:sz w:val="14"/>
                <w:szCs w:val="14"/>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2020</w:t>
            </w:r>
          </w:p>
        </w:tc>
        <w:tc>
          <w:tcPr>
            <w:tcW w:w="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420" w:type="dxa"/>
            <w:vAlign w:val="bottom"/>
            <w:tcBorders>
              <w:bottom w:val="single" w:sz="8" w:color="auto"/>
            </w:tcBorders>
            <w:gridSpan w:val="2"/>
          </w:tcPr>
          <w:p>
            <w:pPr>
              <w:jc w:val="right"/>
              <w:spacing w:after="0"/>
              <w:rPr>
                <w:sz w:val="20"/>
                <w:szCs w:val="20"/>
                <w:color w:val="auto"/>
              </w:rPr>
            </w:pPr>
            <w:r>
              <w:rPr>
                <w:rFonts w:ascii="Arial" w:cs="Arial" w:eastAsia="Arial" w:hAnsi="Arial"/>
                <w:sz w:val="14"/>
                <w:szCs w:val="14"/>
                <w:b w:val="1"/>
                <w:bCs w:val="1"/>
                <w:color w:val="auto"/>
              </w:rPr>
              <w:t>2021</w:t>
            </w:r>
          </w:p>
        </w:tc>
        <w:tc>
          <w:tcPr>
            <w:tcW w:w="114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42"/>
        </w:trPr>
        <w:tc>
          <w:tcPr>
            <w:tcW w:w="6920" w:type="dxa"/>
            <w:vAlign w:val="bottom"/>
          </w:tcPr>
          <w:p>
            <w:pPr>
              <w:spacing w:after="0"/>
              <w:rPr>
                <w:sz w:val="12"/>
                <w:szCs w:val="12"/>
                <w:color w:val="auto"/>
              </w:rPr>
            </w:pPr>
          </w:p>
        </w:tc>
        <w:tc>
          <w:tcPr>
            <w:tcW w:w="1200" w:type="dxa"/>
            <w:vAlign w:val="bottom"/>
          </w:tcPr>
          <w:p>
            <w:pPr>
              <w:jc w:val="center"/>
              <w:spacing w:after="0" w:line="142" w:lineRule="exact"/>
              <w:rPr>
                <w:sz w:val="20"/>
                <w:szCs w:val="20"/>
                <w:color w:val="auto"/>
              </w:rPr>
            </w:pPr>
            <w:r>
              <w:rPr>
                <w:rFonts w:ascii="Arial" w:cs="Arial" w:eastAsia="Arial" w:hAnsi="Arial"/>
                <w:sz w:val="14"/>
                <w:szCs w:val="14"/>
                <w:b w:val="1"/>
                <w:bCs w:val="1"/>
                <w:color w:val="auto"/>
              </w:rPr>
              <w:t>RMB</w:t>
            </w:r>
          </w:p>
        </w:tc>
        <w:tc>
          <w:tcPr>
            <w:tcW w:w="220" w:type="dxa"/>
            <w:vAlign w:val="bottom"/>
            <w:gridSpan w:val="2"/>
          </w:tcPr>
          <w:p>
            <w:pPr>
              <w:spacing w:after="0"/>
              <w:rPr>
                <w:sz w:val="12"/>
                <w:szCs w:val="12"/>
                <w:color w:val="auto"/>
              </w:rPr>
            </w:pPr>
          </w:p>
        </w:tc>
        <w:tc>
          <w:tcPr>
            <w:tcW w:w="1420" w:type="dxa"/>
            <w:vAlign w:val="bottom"/>
            <w:gridSpan w:val="2"/>
          </w:tcPr>
          <w:p>
            <w:pPr>
              <w:jc w:val="right"/>
              <w:ind w:right="640"/>
              <w:spacing w:after="0" w:line="142" w:lineRule="exact"/>
              <w:rPr>
                <w:sz w:val="20"/>
                <w:szCs w:val="20"/>
                <w:color w:val="auto"/>
              </w:rPr>
            </w:pPr>
            <w:r>
              <w:rPr>
                <w:rFonts w:ascii="Arial" w:cs="Arial" w:eastAsia="Arial" w:hAnsi="Arial"/>
                <w:sz w:val="14"/>
                <w:szCs w:val="14"/>
                <w:b w:val="1"/>
                <w:bCs w:val="1"/>
                <w:color w:val="auto"/>
              </w:rPr>
              <w:t>RMB</w:t>
            </w:r>
          </w:p>
        </w:tc>
        <w:tc>
          <w:tcPr>
            <w:tcW w:w="1140" w:type="dxa"/>
            <w:vAlign w:val="bottom"/>
          </w:tcPr>
          <w:p>
            <w:pPr>
              <w:jc w:val="right"/>
              <w:ind w:right="350"/>
              <w:spacing w:after="0" w:line="142" w:lineRule="exact"/>
              <w:rPr>
                <w:sz w:val="20"/>
                <w:szCs w:val="20"/>
                <w:color w:val="auto"/>
              </w:rPr>
            </w:pPr>
            <w:r>
              <w:rPr>
                <w:rFonts w:ascii="Arial" w:cs="Arial" w:eastAsia="Arial" w:hAnsi="Arial"/>
                <w:sz w:val="14"/>
                <w:szCs w:val="14"/>
                <w:b w:val="1"/>
                <w:bCs w:val="1"/>
                <w:color w:val="auto"/>
              </w:rPr>
              <w:t>US$</w:t>
            </w:r>
          </w:p>
        </w:tc>
        <w:tc>
          <w:tcPr>
            <w:tcW w:w="120" w:type="dxa"/>
            <w:vAlign w:val="bottom"/>
          </w:tcPr>
          <w:p>
            <w:pPr>
              <w:spacing w:after="0"/>
              <w:rPr>
                <w:sz w:val="12"/>
                <w:szCs w:val="12"/>
                <w:color w:val="auto"/>
              </w:rPr>
            </w:pPr>
          </w:p>
        </w:tc>
      </w:tr>
      <w:tr>
        <w:trPr>
          <w:trHeight w:val="216"/>
        </w:trPr>
        <w:tc>
          <w:tcPr>
            <w:tcW w:w="69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6.3726</w:t>
            </w:r>
          </w:p>
        </w:tc>
      </w:tr>
      <w:tr>
        <w:trPr>
          <w:trHeight w:val="216"/>
        </w:trPr>
        <w:tc>
          <w:tcPr>
            <w:tcW w:w="6920" w:type="dxa"/>
            <w:vAlign w:val="bottom"/>
          </w:tcPr>
          <w:p>
            <w:pPr>
              <w:spacing w:after="0"/>
              <w:rPr>
                <w:sz w:val="20"/>
                <w:szCs w:val="20"/>
                <w:color w:val="auto"/>
              </w:rPr>
            </w:pPr>
            <w:r>
              <w:rPr>
                <w:rFonts w:ascii="Arial" w:cs="Arial" w:eastAsia="Arial" w:hAnsi="Arial"/>
                <w:sz w:val="18"/>
                <w:szCs w:val="18"/>
                <w:b w:val="1"/>
                <w:bCs w:val="1"/>
                <w:color w:val="auto"/>
              </w:rPr>
              <w:t>ASSETS:</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Current assets:</w:t>
            </w: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Cash and cash equivalents</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1,426,899,576</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1,434,806,922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225,152,516</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Restricted cash - current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9,693,008</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61,293,114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9,618,227</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Short-term investments</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4,342,356,612</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2,598,935,704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407,829,725</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 net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141,594,170</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223,544,396</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35,078,994</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Finance lease receivables - current, net</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2,035,397,525</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1,414,164,625</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221,913,289</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Short-term consumer financing receivables, net</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23,168</w:t>
            </w:r>
          </w:p>
        </w:tc>
        <w:tc>
          <w:tcPr>
            <w:tcW w:w="142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Financing receivables, net</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20,105,893</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62,296,261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9,775,643</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Short-term contract asset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364,618,635</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829,940,692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130,235,805</w:t>
            </w:r>
          </w:p>
        </w:tc>
      </w:tr>
      <w:tr>
        <w:trPr>
          <w:trHeight w:val="223"/>
        </w:trPr>
        <w:tc>
          <w:tcPr>
            <w:tcW w:w="6920" w:type="dxa"/>
            <w:vAlign w:val="bottom"/>
          </w:tcPr>
          <w:p>
            <w:pPr>
              <w:spacing w:after="0"/>
              <w:rPr>
                <w:sz w:val="20"/>
                <w:szCs w:val="20"/>
                <w:color w:val="auto"/>
              </w:rPr>
            </w:pPr>
            <w:r>
              <w:rPr>
                <w:rFonts w:ascii="Arial" w:cs="Arial" w:eastAsia="Arial" w:hAnsi="Arial"/>
                <w:sz w:val="18"/>
                <w:szCs w:val="18"/>
                <w:color w:val="auto"/>
              </w:rPr>
              <w:t>Prepayments and other current assets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558,360,959</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982,948,637</w:t>
            </w:r>
          </w:p>
        </w:tc>
        <w:tc>
          <w:tcPr>
            <w:tcW w:w="20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154,246,091</w:t>
            </w:r>
          </w:p>
        </w:tc>
        <w:tc>
          <w:tcPr>
            <w:tcW w:w="120" w:type="dxa"/>
            <w:vAlign w:val="bottom"/>
          </w:tcPr>
          <w:p>
            <w:pPr>
              <w:spacing w:after="0"/>
              <w:rPr>
                <w:sz w:val="19"/>
                <w:szCs w:val="19"/>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current assets</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8,899,049,546</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7,607,930,351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7"/>
              </w:rPr>
              <w:t>1,193,850,290</w:t>
            </w:r>
          </w:p>
        </w:tc>
      </w:tr>
      <w:tr>
        <w:trPr>
          <w:trHeight w:val="223"/>
        </w:trPr>
        <w:tc>
          <w:tcPr>
            <w:tcW w:w="6920" w:type="dxa"/>
            <w:vAlign w:val="bottom"/>
          </w:tcPr>
          <w:p>
            <w:pPr>
              <w:spacing w:after="0"/>
              <w:rPr>
                <w:sz w:val="20"/>
                <w:szCs w:val="20"/>
                <w:color w:val="auto"/>
              </w:rPr>
            </w:pPr>
            <w:r>
              <w:rPr>
                <w:rFonts w:ascii="Arial" w:cs="Arial" w:eastAsia="Arial" w:hAnsi="Arial"/>
                <w:sz w:val="18"/>
                <w:szCs w:val="18"/>
                <w:b w:val="1"/>
                <w:bCs w:val="1"/>
                <w:color w:val="auto"/>
              </w:rPr>
              <w:t>Non-current assets:</w:t>
            </w:r>
          </w:p>
        </w:tc>
        <w:tc>
          <w:tcPr>
            <w:tcW w:w="1200" w:type="dxa"/>
            <w:vAlign w:val="bottom"/>
            <w:tcBorders>
              <w:top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top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140" w:type="dxa"/>
            <w:vAlign w:val="bottom"/>
            <w:tcBorders>
              <w:top w:val="single" w:sz="8" w:color="auto"/>
            </w:tcBorders>
          </w:tcPr>
          <w:p>
            <w:pPr>
              <w:spacing w:after="0"/>
              <w:rPr>
                <w:sz w:val="19"/>
                <w:szCs w:val="19"/>
                <w:color w:val="auto"/>
              </w:rPr>
            </w:pPr>
          </w:p>
        </w:tc>
        <w:tc>
          <w:tcPr>
            <w:tcW w:w="120" w:type="dxa"/>
            <w:vAlign w:val="bottom"/>
          </w:tcPr>
          <w:p>
            <w:pPr>
              <w:spacing w:after="0"/>
              <w:rPr>
                <w:sz w:val="19"/>
                <w:szCs w:val="19"/>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Restricted cash - non-current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878,299,140</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1,114,180,729</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174,839,270</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Goodwill</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145,063,857</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148,657,971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23,327,680</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Property and equipment, net</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10,311,971</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19,545,933</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3,067,183</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Intangible assets</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44,887,871</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45,931,544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7,207,662</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Long-term contract asset</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281,374,110</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495,456,805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77,747,984</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Deferred tax assets</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170,951,082</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474,570,361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74,470,446</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Finance lease receivables - non-current, net</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1,454,499,864</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1,029,262,174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161,513,695</w:t>
            </w:r>
          </w:p>
        </w:tc>
      </w:tr>
      <w:tr>
        <w:trPr>
          <w:trHeight w:val="223"/>
        </w:trPr>
        <w:tc>
          <w:tcPr>
            <w:tcW w:w="6920" w:type="dxa"/>
            <w:vAlign w:val="bottom"/>
          </w:tcPr>
          <w:p>
            <w:pPr>
              <w:spacing w:after="0"/>
              <w:rPr>
                <w:sz w:val="20"/>
                <w:szCs w:val="20"/>
                <w:color w:val="auto"/>
              </w:rPr>
            </w:pPr>
            <w:r>
              <w:rPr>
                <w:rFonts w:ascii="Arial" w:cs="Arial" w:eastAsia="Arial" w:hAnsi="Arial"/>
                <w:sz w:val="18"/>
                <w:szCs w:val="18"/>
                <w:color w:val="auto"/>
              </w:rPr>
              <w:t>Other non-current assets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261,495,158</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11,568,164</w:t>
            </w:r>
          </w:p>
        </w:tc>
        <w:tc>
          <w:tcPr>
            <w:tcW w:w="20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1,815,297</w:t>
            </w:r>
          </w:p>
        </w:tc>
        <w:tc>
          <w:tcPr>
            <w:tcW w:w="120" w:type="dxa"/>
            <w:vAlign w:val="bottom"/>
          </w:tcPr>
          <w:p>
            <w:pPr>
              <w:spacing w:after="0"/>
              <w:rPr>
                <w:sz w:val="19"/>
                <w:szCs w:val="19"/>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assets</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3,246,883,053</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3,339,173,681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523,989,217</w:t>
            </w:r>
          </w:p>
        </w:tc>
      </w:tr>
      <w:tr>
        <w:trPr>
          <w:trHeight w:val="223"/>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12,145,932,599</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10,947,104,032</w:t>
            </w:r>
          </w:p>
        </w:tc>
        <w:tc>
          <w:tcPr>
            <w:tcW w:w="2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1,717,839,507</w:t>
            </w:r>
          </w:p>
        </w:tc>
        <w:tc>
          <w:tcPr>
            <w:tcW w:w="120" w:type="dxa"/>
            <w:vAlign w:val="bottom"/>
          </w:tcPr>
          <w:p>
            <w:pPr>
              <w:spacing w:after="0"/>
              <w:rPr>
                <w:sz w:val="19"/>
                <w:szCs w:val="19"/>
                <w:color w:val="auto"/>
              </w:rPr>
            </w:pPr>
          </w:p>
        </w:tc>
      </w:tr>
      <w:tr>
        <w:trPr>
          <w:trHeight w:val="20"/>
        </w:trPr>
        <w:tc>
          <w:tcPr>
            <w:tcW w:w="69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0"/>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SHAREHOLDERS’ EQUITY</w:t>
            </w: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b w:val="1"/>
                <w:bCs w:val="1"/>
                <w:color w:val="auto"/>
              </w:rPr>
              <w:t>Current liabilities:</w:t>
            </w:r>
          </w:p>
        </w:tc>
        <w:tc>
          <w:tcPr>
            <w:tcW w:w="1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Short-term debts</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355,816,940</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579,776,131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90,979,527</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Long-term debts—current</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1,228,783,730</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938,014,362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147,194,922</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Accrued expenses and other current liabilities</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324,734,202</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719,035,380</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112,832,343</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Risk assurance liabilities</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460,829,299</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699,022,914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109,691,949</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Income tax payable</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87,132,455</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481,854,102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75,613,423</w:t>
            </w:r>
          </w:p>
        </w:tc>
      </w:tr>
      <w:tr>
        <w:trPr>
          <w:trHeight w:val="230"/>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current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2,457,296,626</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3,417,702,889</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536,312,164</w:t>
            </w:r>
          </w:p>
        </w:tc>
        <w:tc>
          <w:tcPr>
            <w:tcW w:w="120" w:type="dxa"/>
            <w:vAlign w:val="bottom"/>
          </w:tcPr>
          <w:p>
            <w:pPr>
              <w:spacing w:after="0"/>
              <w:rPr>
                <w:sz w:val="20"/>
                <w:szCs w:val="20"/>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Non-current liabilities:</w:t>
            </w: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Long-term debts</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977,791,191</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486,371,672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76,322,329</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Deferred tax liability</w:t>
            </w:r>
          </w:p>
        </w:tc>
        <w:tc>
          <w:tcPr>
            <w:tcW w:w="1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330,765,029</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51,471,040</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8,076,929</w:t>
            </w:r>
          </w:p>
        </w:tc>
      </w:tr>
      <w:tr>
        <w:trPr>
          <w:trHeight w:val="223"/>
        </w:trPr>
        <w:tc>
          <w:tcPr>
            <w:tcW w:w="6920" w:type="dxa"/>
            <w:vAlign w:val="bottom"/>
          </w:tcPr>
          <w:p>
            <w:pPr>
              <w:spacing w:after="0"/>
              <w:rPr>
                <w:sz w:val="20"/>
                <w:szCs w:val="20"/>
                <w:color w:val="auto"/>
              </w:rPr>
            </w:pPr>
            <w:r>
              <w:rPr>
                <w:rFonts w:ascii="Arial" w:cs="Arial" w:eastAsia="Arial" w:hAnsi="Arial"/>
                <w:sz w:val="18"/>
                <w:szCs w:val="18"/>
                <w:color w:val="auto"/>
              </w:rPr>
              <w:t>Other non-current liabilities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4,870,616</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991,610</w:t>
            </w:r>
          </w:p>
        </w:tc>
        <w:tc>
          <w:tcPr>
            <w:tcW w:w="200" w:type="dxa"/>
            <w:vAlign w:val="bottom"/>
          </w:tcPr>
          <w:p>
            <w:pPr>
              <w:spacing w:after="0"/>
              <w:rPr>
                <w:sz w:val="19"/>
                <w:szCs w:val="19"/>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155,605</w:t>
            </w:r>
          </w:p>
        </w:tc>
        <w:tc>
          <w:tcPr>
            <w:tcW w:w="120" w:type="dxa"/>
            <w:vAlign w:val="bottom"/>
          </w:tcPr>
          <w:p>
            <w:pPr>
              <w:spacing w:after="0"/>
              <w:rPr>
                <w:sz w:val="19"/>
                <w:szCs w:val="19"/>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non-current liabilities</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1,313,426,836</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538,834,322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84,554,863</w:t>
            </w:r>
          </w:p>
        </w:tc>
      </w:tr>
      <w:tr>
        <w:trPr>
          <w:trHeight w:val="230"/>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liabilities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3,770,723,462</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3,956,537,211</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620,867,027</w:t>
            </w:r>
          </w:p>
        </w:tc>
        <w:tc>
          <w:tcPr>
            <w:tcW w:w="120" w:type="dxa"/>
            <w:vAlign w:val="bottom"/>
          </w:tcPr>
          <w:p>
            <w:pPr>
              <w:spacing w:after="0"/>
              <w:rPr>
                <w:sz w:val="20"/>
                <w:szCs w:val="20"/>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Shareholders’ equity</w:t>
            </w:r>
          </w:p>
        </w:tc>
        <w:tc>
          <w:tcPr>
            <w:tcW w:w="1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Ordinary shares</w:t>
            </w:r>
          </w:p>
        </w:tc>
        <w:tc>
          <w:tcPr>
            <w:tcW w:w="1220" w:type="dxa"/>
            <w:vAlign w:val="bottom"/>
            <w:gridSpan w:val="2"/>
          </w:tcPr>
          <w:p>
            <w:pPr>
              <w:jc w:val="right"/>
              <w:ind w:right="20"/>
              <w:spacing w:after="0"/>
              <w:rPr>
                <w:sz w:val="20"/>
                <w:szCs w:val="20"/>
                <w:color w:val="auto"/>
              </w:rPr>
            </w:pPr>
            <w:r>
              <w:rPr>
                <w:rFonts w:ascii="Arial" w:cs="Arial" w:eastAsia="Arial" w:hAnsi="Arial"/>
                <w:sz w:val="18"/>
                <w:szCs w:val="18"/>
                <w:color w:val="auto"/>
              </w:rPr>
              <w:t>204,260</w:t>
            </w:r>
          </w:p>
        </w:tc>
        <w:tc>
          <w:tcPr>
            <w:tcW w:w="200" w:type="dxa"/>
            <w:vAlign w:val="bottom"/>
          </w:tcPr>
          <w:p>
            <w:pPr>
              <w:spacing w:after="0"/>
              <w:rPr>
                <w:sz w:val="18"/>
                <w:szCs w:val="18"/>
                <w:color w:val="auto"/>
              </w:rPr>
            </w:pP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204,260</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32,053</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Treasury shares</w:t>
            </w:r>
          </w:p>
        </w:tc>
        <w:tc>
          <w:tcPr>
            <w:tcW w:w="14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(56,419,225)</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(485,263,213)</w:t>
            </w: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(76,148,387)</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Additional paid-in capital</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4,591,455,557</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4,671,769,821</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733,102,630</w:t>
            </w: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color w:val="auto"/>
              </w:rPr>
              <w:t>Accumulated other comprehensive income</w:t>
            </w:r>
          </w:p>
        </w:tc>
        <w:tc>
          <w:tcPr>
            <w:tcW w:w="142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(115,386,427)</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(187,517,110)</w:t>
            </w:r>
          </w:p>
        </w:tc>
        <w:tc>
          <w:tcPr>
            <w:tcW w:w="126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(29,425,526)</w:t>
            </w:r>
          </w:p>
        </w:tc>
      </w:tr>
      <w:tr>
        <w:trPr>
          <w:trHeight w:val="216"/>
        </w:trPr>
        <w:tc>
          <w:tcPr>
            <w:tcW w:w="6920" w:type="dxa"/>
            <w:vAlign w:val="bottom"/>
          </w:tcPr>
          <w:p>
            <w:pPr>
              <w:spacing w:after="0"/>
              <w:rPr>
                <w:sz w:val="20"/>
                <w:szCs w:val="20"/>
                <w:color w:val="auto"/>
              </w:rPr>
            </w:pPr>
            <w:r>
              <w:rPr>
                <w:rFonts w:ascii="Arial" w:cs="Arial" w:eastAsia="Arial" w:hAnsi="Arial"/>
                <w:sz w:val="18"/>
                <w:szCs w:val="18"/>
                <w:color w:val="auto"/>
              </w:rPr>
              <w:t>Retained earnings</w:t>
            </w:r>
          </w:p>
        </w:tc>
        <w:tc>
          <w:tcPr>
            <w:tcW w:w="1420" w:type="dxa"/>
            <w:vAlign w:val="bottom"/>
            <w:gridSpan w:val="3"/>
          </w:tcPr>
          <w:p>
            <w:pPr>
              <w:jc w:val="right"/>
              <w:ind w:right="220"/>
              <w:spacing w:after="0"/>
              <w:rPr>
                <w:sz w:val="20"/>
                <w:szCs w:val="20"/>
                <w:color w:val="auto"/>
              </w:rPr>
            </w:pPr>
            <w:r>
              <w:rPr>
                <w:rFonts w:ascii="Arial" w:cs="Arial" w:eastAsia="Arial" w:hAnsi="Arial"/>
                <w:sz w:val="18"/>
                <w:szCs w:val="18"/>
                <w:color w:val="auto"/>
              </w:rPr>
              <w:t>3,955,354,972</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2,991,373,063</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469,411,710</w:t>
            </w:r>
          </w:p>
        </w:tc>
      </w:tr>
      <w:tr>
        <w:trPr>
          <w:trHeight w:val="27"/>
        </w:trPr>
        <w:tc>
          <w:tcPr>
            <w:tcW w:w="6920" w:type="dxa"/>
            <w:vAlign w:val="bottom"/>
          </w:tcPr>
          <w:p>
            <w:pPr>
              <w:spacing w:after="0"/>
              <w:rPr>
                <w:sz w:val="2"/>
                <w:szCs w:val="2"/>
                <w:color w:val="auto"/>
              </w:rPr>
            </w:pPr>
          </w:p>
        </w:tc>
        <w:tc>
          <w:tcPr>
            <w:tcW w:w="1200" w:type="dxa"/>
            <w:vAlign w:val="bottom"/>
            <w:shd w:val="clear" w:color="auto" w:fill="000000"/>
          </w:tcPr>
          <w:p>
            <w:pPr>
              <w:spacing w:after="0"/>
              <w:rPr>
                <w:sz w:val="2"/>
                <w:szCs w:val="2"/>
                <w:color w:val="auto"/>
              </w:rPr>
            </w:pPr>
          </w:p>
        </w:tc>
        <w:tc>
          <w:tcPr>
            <w:tcW w:w="2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shd w:val="clear" w:color="auto" w:fill="000000"/>
          </w:tcPr>
          <w:p>
            <w:pPr>
              <w:spacing w:after="0"/>
              <w:rPr>
                <w:sz w:val="2"/>
                <w:szCs w:val="2"/>
                <w:color w:val="auto"/>
              </w:rPr>
            </w:pPr>
          </w:p>
        </w:tc>
        <w:tc>
          <w:tcPr>
            <w:tcW w:w="200" w:type="dxa"/>
            <w:vAlign w:val="bottom"/>
          </w:tcPr>
          <w:p>
            <w:pPr>
              <w:spacing w:after="0"/>
              <w:rPr>
                <w:sz w:val="2"/>
                <w:szCs w:val="2"/>
                <w:color w:val="auto"/>
              </w:rPr>
            </w:pPr>
          </w:p>
        </w:tc>
        <w:tc>
          <w:tcPr>
            <w:tcW w:w="114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Cango Inc.’s equity</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8,375,209,137</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6,990,566,821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7"/>
              </w:rPr>
              <w:t>1,096,972,480</w:t>
            </w:r>
          </w:p>
        </w:tc>
      </w:tr>
      <w:tr>
        <w:trPr>
          <w:trHeight w:val="230"/>
        </w:trPr>
        <w:tc>
          <w:tcPr>
            <w:tcW w:w="6920" w:type="dxa"/>
            <w:vAlign w:val="bottom"/>
          </w:tcPr>
          <w:p>
            <w:pPr>
              <w:spacing w:after="0"/>
              <w:rPr>
                <w:sz w:val="20"/>
                <w:szCs w:val="20"/>
                <w:color w:val="auto"/>
              </w:rPr>
            </w:pPr>
            <w:r>
              <w:rPr>
                <w:rFonts w:ascii="Arial" w:cs="Arial" w:eastAsia="Arial" w:hAnsi="Arial"/>
                <w:sz w:val="18"/>
                <w:szCs w:val="18"/>
                <w:color w:val="auto"/>
              </w:rPr>
              <w:t>Non-controlling interests</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20" w:type="dxa"/>
            <w:vAlign w:val="bottom"/>
            <w:tcBorders>
              <w:top w:val="single" w:sz="8" w:color="auto"/>
              <w:bottom w:val="single" w:sz="8" w:color="auto"/>
            </w:tcBorders>
          </w:tcPr>
          <w:p>
            <w:pPr>
              <w:jc w:val="right"/>
              <w:ind w:right="11"/>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140" w:type="dxa"/>
            <w:vAlign w:val="bottom"/>
            <w:tcBorders>
              <w:top w:val="single" w:sz="8" w:color="auto"/>
              <w:bottom w:val="single" w:sz="8" w:color="auto"/>
            </w:tcBorders>
          </w:tcPr>
          <w:p>
            <w:pPr>
              <w:jc w:val="right"/>
              <w:ind w:right="10"/>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20"/>
                <w:szCs w:val="20"/>
                <w:color w:val="auto"/>
              </w:rPr>
            </w:pPr>
          </w:p>
        </w:tc>
      </w:tr>
      <w:tr>
        <w:trPr>
          <w:trHeight w:val="216"/>
        </w:trPr>
        <w:tc>
          <w:tcPr>
            <w:tcW w:w="69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shareholders’ equity</w:t>
            </w:r>
          </w:p>
        </w:tc>
        <w:tc>
          <w:tcPr>
            <w:tcW w:w="142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8,375,209,137</w:t>
            </w:r>
          </w:p>
        </w:tc>
        <w:tc>
          <w:tcPr>
            <w:tcW w:w="14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6,990,566,821</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7"/>
              </w:rPr>
              <w:t>1,096,972,480</w:t>
            </w:r>
          </w:p>
        </w:tc>
      </w:tr>
      <w:tr>
        <w:trPr>
          <w:trHeight w:val="223"/>
        </w:trPr>
        <w:tc>
          <w:tcPr>
            <w:tcW w:w="6920" w:type="dxa"/>
            <w:vAlign w:val="bottom"/>
          </w:tcPr>
          <w:p>
            <w:pPr>
              <w:spacing w:after="0"/>
              <w:rPr>
                <w:sz w:val="20"/>
                <w:szCs w:val="20"/>
                <w:color w:val="auto"/>
              </w:rPr>
            </w:pPr>
            <w:r>
              <w:rPr>
                <w:rFonts w:ascii="Arial" w:cs="Arial" w:eastAsia="Arial" w:hAnsi="Arial"/>
                <w:sz w:val="18"/>
                <w:szCs w:val="18"/>
                <w:b w:val="1"/>
                <w:bCs w:val="1"/>
                <w:color w:val="auto"/>
              </w:rPr>
              <w:t>TOTAL LIABILITIES AND SHAREHOLDERS’ EQUITY</w:t>
            </w: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4"/>
              </w:rPr>
              <w:t>12,145,932,599</w:t>
            </w:r>
          </w:p>
        </w:tc>
        <w:tc>
          <w:tcPr>
            <w:tcW w:w="2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5"/>
              </w:rPr>
              <w:t>10,947,104,032</w:t>
            </w:r>
          </w:p>
        </w:tc>
        <w:tc>
          <w:tcPr>
            <w:tcW w:w="20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7"/>
              </w:rPr>
              <w:t>1,717,839,507</w:t>
            </w:r>
          </w:p>
        </w:tc>
        <w:tc>
          <w:tcPr>
            <w:tcW w:w="120" w:type="dxa"/>
            <w:vAlign w:val="bottom"/>
          </w:tcPr>
          <w:p>
            <w:pPr>
              <w:spacing w:after="0"/>
              <w:rPr>
                <w:sz w:val="19"/>
                <w:szCs w:val="19"/>
                <w:color w:val="auto"/>
              </w:rPr>
            </w:pPr>
          </w:p>
        </w:tc>
      </w:tr>
      <w:tr>
        <w:trPr>
          <w:trHeight w:val="20"/>
        </w:trPr>
        <w:tc>
          <w:tcPr>
            <w:tcW w:w="69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ectPr>
          <w:pgSz w:w="11900" w:h="16838" w:orient="portrait"/>
          <w:cols w:equalWidth="0" w:num="1">
            <w:col w:w="11020"/>
          </w:cols>
          <w:pgMar w:left="440" w:top="270" w:right="439" w:bottom="1440" w:gutter="0" w:footer="0" w:header="0"/>
        </w:sectPr>
      </w:pPr>
    </w:p>
    <w:bookmarkStart w:id="13" w:name="page14"/>
    <w:bookmarkEnd w:id="13"/>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UNAUDITED INTERIM CONDENSED CONSOLIDATED STATEMENTS OF</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COMPREHENSIVE INCOME</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400" w:type="dxa"/>
            <w:vAlign w:val="bottom"/>
          </w:tcPr>
          <w:p>
            <w:pPr>
              <w:spacing w:after="0"/>
              <w:rPr>
                <w:sz w:val="14"/>
                <w:szCs w:val="14"/>
                <w:color w:val="auto"/>
              </w:rPr>
            </w:pPr>
          </w:p>
        </w:tc>
        <w:tc>
          <w:tcPr>
            <w:tcW w:w="2680" w:type="dxa"/>
            <w:vAlign w:val="bottom"/>
            <w:tcBorders>
              <w:bottom w:val="single" w:sz="8" w:color="auto"/>
            </w:tcBorders>
            <w:gridSpan w:val="5"/>
          </w:tcPr>
          <w:p>
            <w:pPr>
              <w:jc w:val="right"/>
              <w:spacing w:after="0"/>
              <w:rPr>
                <w:sz w:val="20"/>
                <w:szCs w:val="20"/>
                <w:color w:val="auto"/>
              </w:rPr>
            </w:pPr>
            <w:r>
              <w:rPr>
                <w:rFonts w:ascii="Arial" w:cs="Arial" w:eastAsia="Arial" w:hAnsi="Arial"/>
                <w:sz w:val="14"/>
                <w:szCs w:val="14"/>
                <w:b w:val="1"/>
                <w:bCs w:val="1"/>
                <w:color w:val="auto"/>
              </w:rPr>
              <w:t>For the three months ended</w:t>
            </w:r>
          </w:p>
        </w:tc>
        <w:tc>
          <w:tcPr>
            <w:tcW w:w="96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60" w:type="dxa"/>
            <w:vAlign w:val="bottom"/>
            <w:tcBorders>
              <w:bottom w:val="single" w:sz="8" w:color="auto"/>
            </w:tcBorders>
          </w:tcPr>
          <w:p>
            <w:pPr>
              <w:spacing w:after="0"/>
              <w:rPr>
                <w:sz w:val="14"/>
                <w:szCs w:val="14"/>
                <w:color w:val="auto"/>
              </w:rPr>
            </w:pPr>
          </w:p>
        </w:tc>
        <w:tc>
          <w:tcPr>
            <w:tcW w:w="1520" w:type="dxa"/>
            <w:vAlign w:val="bottom"/>
            <w:tcBorders>
              <w:bottom w:val="single" w:sz="8" w:color="auto"/>
            </w:tcBorders>
            <w:gridSpan w:val="3"/>
          </w:tcPr>
          <w:p>
            <w:pPr>
              <w:jc w:val="right"/>
              <w:ind w:right="240"/>
              <w:spacing w:after="0"/>
              <w:rPr>
                <w:sz w:val="20"/>
                <w:szCs w:val="20"/>
                <w:color w:val="auto"/>
              </w:rPr>
            </w:pPr>
            <w:r>
              <w:rPr>
                <w:rFonts w:ascii="Arial" w:cs="Arial" w:eastAsia="Arial" w:hAnsi="Arial"/>
                <w:sz w:val="14"/>
                <w:szCs w:val="14"/>
                <w:b w:val="1"/>
                <w:bCs w:val="1"/>
                <w:color w:val="auto"/>
                <w:w w:val="94"/>
              </w:rPr>
              <w:t>For the years ended</w:t>
            </w:r>
          </w:p>
        </w:tc>
        <w:tc>
          <w:tcPr>
            <w:tcW w:w="9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400" w:type="dxa"/>
            <w:vAlign w:val="bottom"/>
          </w:tcPr>
          <w:p>
            <w:pPr>
              <w:spacing w:after="0"/>
              <w:rPr>
                <w:sz w:val="10"/>
                <w:szCs w:val="10"/>
                <w:color w:val="auto"/>
              </w:rPr>
            </w:pPr>
          </w:p>
        </w:tc>
        <w:tc>
          <w:tcPr>
            <w:tcW w:w="1380" w:type="dxa"/>
            <w:vAlign w:val="bottom"/>
            <w:gridSpan w:val="3"/>
          </w:tcPr>
          <w:p>
            <w:pPr>
              <w:jc w:val="right"/>
              <w:ind w:right="220"/>
              <w:spacing w:after="0" w:line="119" w:lineRule="exact"/>
              <w:rPr>
                <w:sz w:val="20"/>
                <w:szCs w:val="20"/>
                <w:color w:val="auto"/>
              </w:rPr>
            </w:pPr>
            <w:r>
              <w:rPr>
                <w:rFonts w:ascii="Arial" w:cs="Arial" w:eastAsia="Arial" w:hAnsi="Arial"/>
                <w:sz w:val="13"/>
                <w:szCs w:val="13"/>
                <w:b w:val="1"/>
                <w:bCs w:val="1"/>
                <w:color w:val="auto"/>
                <w:w w:val="97"/>
              </w:rPr>
              <w:t>December 31, 2020</w:t>
            </w:r>
          </w:p>
        </w:tc>
        <w:tc>
          <w:tcPr>
            <w:tcW w:w="2260" w:type="dxa"/>
            <w:vAlign w:val="bottom"/>
            <w:gridSpan w:val="3"/>
          </w:tcPr>
          <w:p>
            <w:pPr>
              <w:jc w:val="right"/>
              <w:ind w:right="471"/>
              <w:spacing w:after="0" w:line="119" w:lineRule="exact"/>
              <w:rPr>
                <w:sz w:val="20"/>
                <w:szCs w:val="20"/>
                <w:color w:val="auto"/>
              </w:rPr>
            </w:pPr>
            <w:r>
              <w:rPr>
                <w:rFonts w:ascii="Arial" w:cs="Arial" w:eastAsia="Arial" w:hAnsi="Arial"/>
                <w:sz w:val="13"/>
                <w:szCs w:val="13"/>
                <w:b w:val="1"/>
                <w:bCs w:val="1"/>
                <w:color w:val="auto"/>
              </w:rPr>
              <w:t>December 31, 2021</w:t>
            </w:r>
          </w:p>
        </w:tc>
        <w:tc>
          <w:tcPr>
            <w:tcW w:w="220" w:type="dxa"/>
            <w:vAlign w:val="bottom"/>
          </w:tcPr>
          <w:p>
            <w:pPr>
              <w:spacing w:after="0"/>
              <w:rPr>
                <w:sz w:val="10"/>
                <w:szCs w:val="10"/>
                <w:color w:val="auto"/>
              </w:rPr>
            </w:pPr>
          </w:p>
        </w:tc>
        <w:tc>
          <w:tcPr>
            <w:tcW w:w="1380" w:type="dxa"/>
            <w:vAlign w:val="bottom"/>
            <w:gridSpan w:val="2"/>
          </w:tcPr>
          <w:p>
            <w:pPr>
              <w:jc w:val="right"/>
              <w:ind w:right="148"/>
              <w:spacing w:after="0" w:line="119" w:lineRule="exact"/>
              <w:rPr>
                <w:sz w:val="20"/>
                <w:szCs w:val="20"/>
                <w:color w:val="auto"/>
              </w:rPr>
            </w:pPr>
            <w:r>
              <w:rPr>
                <w:rFonts w:ascii="Arial" w:cs="Arial" w:eastAsia="Arial" w:hAnsi="Arial"/>
                <w:sz w:val="13"/>
                <w:szCs w:val="13"/>
                <w:b w:val="1"/>
                <w:bCs w:val="1"/>
                <w:color w:val="auto"/>
                <w:w w:val="97"/>
              </w:rPr>
              <w:t>December 31, 2020</w:t>
            </w:r>
          </w:p>
        </w:tc>
        <w:tc>
          <w:tcPr>
            <w:tcW w:w="2260" w:type="dxa"/>
            <w:vAlign w:val="bottom"/>
            <w:gridSpan w:val="3"/>
          </w:tcPr>
          <w:p>
            <w:pPr>
              <w:jc w:val="right"/>
              <w:ind w:right="451"/>
              <w:spacing w:after="0" w:line="119" w:lineRule="exact"/>
              <w:rPr>
                <w:sz w:val="20"/>
                <w:szCs w:val="20"/>
                <w:color w:val="auto"/>
              </w:rPr>
            </w:pPr>
            <w:r>
              <w:rPr>
                <w:rFonts w:ascii="Arial" w:cs="Arial" w:eastAsia="Arial" w:hAnsi="Arial"/>
                <w:sz w:val="13"/>
                <w:szCs w:val="13"/>
                <w:b w:val="1"/>
                <w:bCs w:val="1"/>
                <w:color w:val="auto"/>
              </w:rPr>
              <w:t>December 31, 2021</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71"/>
        </w:trPr>
        <w:tc>
          <w:tcPr>
            <w:tcW w:w="3400" w:type="dxa"/>
            <w:vAlign w:val="bottom"/>
          </w:tcPr>
          <w:p>
            <w:pPr>
              <w:spacing w:after="0"/>
              <w:rPr>
                <w:sz w:val="14"/>
                <w:szCs w:val="14"/>
                <w:color w:val="auto"/>
              </w:rPr>
            </w:pPr>
          </w:p>
        </w:tc>
        <w:tc>
          <w:tcPr>
            <w:tcW w:w="1380" w:type="dxa"/>
            <w:vAlign w:val="bottom"/>
            <w:gridSpan w:val="3"/>
          </w:tcPr>
          <w:p>
            <w:pPr>
              <w:jc w:val="right"/>
              <w:ind w:right="640"/>
              <w:spacing w:after="0"/>
              <w:rPr>
                <w:sz w:val="20"/>
                <w:szCs w:val="20"/>
                <w:color w:val="auto"/>
              </w:rPr>
            </w:pPr>
            <w:r>
              <w:rPr>
                <w:rFonts w:ascii="Arial" w:cs="Arial" w:eastAsia="Arial" w:hAnsi="Arial"/>
                <w:sz w:val="14"/>
                <w:szCs w:val="14"/>
                <w:b w:val="1"/>
                <w:bCs w:val="1"/>
                <w:color w:val="auto"/>
              </w:rPr>
              <w:t>RMB</w:t>
            </w:r>
          </w:p>
        </w:tc>
        <w:tc>
          <w:tcPr>
            <w:tcW w:w="1300" w:type="dxa"/>
            <w:vAlign w:val="bottom"/>
            <w:gridSpan w:val="2"/>
          </w:tcPr>
          <w:p>
            <w:pPr>
              <w:jc w:val="right"/>
              <w:ind w:right="600"/>
              <w:spacing w:after="0"/>
              <w:rPr>
                <w:sz w:val="20"/>
                <w:szCs w:val="20"/>
                <w:color w:val="auto"/>
              </w:rPr>
            </w:pPr>
            <w:r>
              <w:rPr>
                <w:rFonts w:ascii="Arial" w:cs="Arial" w:eastAsia="Arial" w:hAnsi="Arial"/>
                <w:sz w:val="14"/>
                <w:szCs w:val="14"/>
                <w:b w:val="1"/>
                <w:bCs w:val="1"/>
                <w:color w:val="auto"/>
              </w:rPr>
              <w:t>RMB</w:t>
            </w:r>
          </w:p>
        </w:tc>
        <w:tc>
          <w:tcPr>
            <w:tcW w:w="1180" w:type="dxa"/>
            <w:vAlign w:val="bottom"/>
            <w:gridSpan w:val="2"/>
          </w:tcPr>
          <w:p>
            <w:pPr>
              <w:jc w:val="right"/>
              <w:ind w:right="560"/>
              <w:spacing w:after="0"/>
              <w:rPr>
                <w:sz w:val="20"/>
                <w:szCs w:val="20"/>
                <w:color w:val="auto"/>
              </w:rPr>
            </w:pPr>
            <w:r>
              <w:rPr>
                <w:rFonts w:ascii="Arial" w:cs="Arial" w:eastAsia="Arial" w:hAnsi="Arial"/>
                <w:sz w:val="14"/>
                <w:szCs w:val="14"/>
                <w:b w:val="1"/>
                <w:bCs w:val="1"/>
                <w:color w:val="auto"/>
              </w:rPr>
              <w:t>US$</w:t>
            </w:r>
          </w:p>
        </w:tc>
        <w:tc>
          <w:tcPr>
            <w:tcW w:w="1380" w:type="dxa"/>
            <w:vAlign w:val="bottom"/>
            <w:gridSpan w:val="2"/>
          </w:tcPr>
          <w:p>
            <w:pPr>
              <w:jc w:val="right"/>
              <w:ind w:right="568"/>
              <w:spacing w:after="0"/>
              <w:rPr>
                <w:sz w:val="20"/>
                <w:szCs w:val="20"/>
                <w:color w:val="auto"/>
              </w:rPr>
            </w:pPr>
            <w:r>
              <w:rPr>
                <w:rFonts w:ascii="Arial" w:cs="Arial" w:eastAsia="Arial" w:hAnsi="Arial"/>
                <w:sz w:val="14"/>
                <w:szCs w:val="14"/>
                <w:b w:val="1"/>
                <w:bCs w:val="1"/>
                <w:color w:val="auto"/>
              </w:rPr>
              <w:t>RMB</w:t>
            </w:r>
          </w:p>
        </w:tc>
        <w:tc>
          <w:tcPr>
            <w:tcW w:w="1300" w:type="dxa"/>
            <w:vAlign w:val="bottom"/>
            <w:gridSpan w:val="2"/>
          </w:tcPr>
          <w:p>
            <w:pPr>
              <w:jc w:val="right"/>
              <w:ind w:right="580"/>
              <w:spacing w:after="0"/>
              <w:rPr>
                <w:sz w:val="20"/>
                <w:szCs w:val="20"/>
                <w:color w:val="auto"/>
              </w:rPr>
            </w:pPr>
            <w:r>
              <w:rPr>
                <w:rFonts w:ascii="Arial" w:cs="Arial" w:eastAsia="Arial" w:hAnsi="Arial"/>
                <w:sz w:val="14"/>
                <w:szCs w:val="14"/>
                <w:b w:val="1"/>
                <w:bCs w:val="1"/>
                <w:color w:val="auto"/>
              </w:rPr>
              <w:t>RMB</w:t>
            </w:r>
          </w:p>
        </w:tc>
        <w:tc>
          <w:tcPr>
            <w:tcW w:w="1080" w:type="dxa"/>
            <w:vAlign w:val="bottom"/>
            <w:gridSpan w:val="2"/>
          </w:tcPr>
          <w:p>
            <w:pPr>
              <w:jc w:val="right"/>
              <w:ind w:right="381"/>
              <w:spacing w:after="0"/>
              <w:rPr>
                <w:sz w:val="20"/>
                <w:szCs w:val="20"/>
                <w:color w:val="auto"/>
              </w:rPr>
            </w:pPr>
            <w:r>
              <w:rPr>
                <w:rFonts w:ascii="Arial" w:cs="Arial" w:eastAsia="Arial" w:hAnsi="Arial"/>
                <w:sz w:val="14"/>
                <w:szCs w:val="14"/>
                <w:b w:val="1"/>
                <w:bCs w:val="1"/>
                <w:color w:val="auto"/>
              </w:rPr>
              <w:t>US$</w:t>
            </w:r>
          </w:p>
        </w:tc>
        <w:tc>
          <w:tcPr>
            <w:tcW w:w="0" w:type="dxa"/>
            <w:vAlign w:val="bottom"/>
          </w:tcPr>
          <w:p>
            <w:pPr>
              <w:spacing w:after="0"/>
              <w:rPr>
                <w:sz w:val="1"/>
                <w:szCs w:val="1"/>
                <w:color w:val="auto"/>
              </w:rPr>
            </w:pPr>
          </w:p>
        </w:tc>
      </w:tr>
      <w:tr>
        <w:trPr>
          <w:trHeight w:val="209"/>
        </w:trPr>
        <w:tc>
          <w:tcPr>
            <w:tcW w:w="3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Revenues</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1,097,429,135</w:t>
            </w:r>
          </w:p>
        </w:tc>
        <w:tc>
          <w:tcPr>
            <w:tcW w:w="2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1,050,548,618</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164,854,003</w:t>
            </w:r>
          </w:p>
        </w:tc>
        <w:tc>
          <w:tcPr>
            <w:tcW w:w="22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9"/>
              </w:rPr>
              <w:t>2,052,431,752</w:t>
            </w:r>
          </w:p>
        </w:tc>
        <w:tc>
          <w:tcPr>
            <w:tcW w:w="22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2"/>
              </w:rPr>
              <w:t>3,921,716,406</w:t>
            </w: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3"/>
              </w:rPr>
              <w:t>615,402,882</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3400" w:type="dxa"/>
            <w:vAlign w:val="bottom"/>
          </w:tcPr>
          <w:p>
            <w:pPr>
              <w:spacing w:after="0" w:line="201" w:lineRule="exact"/>
              <w:rPr>
                <w:sz w:val="20"/>
                <w:szCs w:val="20"/>
                <w:color w:val="auto"/>
              </w:rPr>
            </w:pPr>
            <w:r>
              <w:rPr>
                <w:rFonts w:ascii="Arial" w:cs="Arial" w:eastAsia="Arial" w:hAnsi="Arial"/>
                <w:sz w:val="18"/>
                <w:szCs w:val="18"/>
                <w:color w:val="auto"/>
              </w:rPr>
              <w:t>Loan facilitation income and other related</w:t>
            </w: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0" w:type="dxa"/>
            <w:vAlign w:val="bottom"/>
          </w:tcPr>
          <w:p>
            <w:pPr>
              <w:ind w:left="180"/>
              <w:spacing w:after="0"/>
              <w:rPr>
                <w:sz w:val="20"/>
                <w:szCs w:val="20"/>
                <w:color w:val="auto"/>
              </w:rPr>
            </w:pPr>
            <w:r>
              <w:rPr>
                <w:rFonts w:ascii="Arial" w:cs="Arial" w:eastAsia="Arial" w:hAnsi="Arial"/>
                <w:sz w:val="18"/>
                <w:szCs w:val="18"/>
                <w:color w:val="auto"/>
              </w:rPr>
              <w:t>income</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398,055,300</w:t>
            </w:r>
          </w:p>
        </w:tc>
        <w:tc>
          <w:tcPr>
            <w:tcW w:w="200" w:type="dxa"/>
            <w:vAlign w:val="bottom"/>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252,002,800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39,544,738</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891,836,601</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w w:val="92"/>
              </w:rPr>
              <w:t>1,233,556,212</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w w:val="93"/>
              </w:rPr>
              <w:t>193,571,888</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Leasing income</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79,117,567</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52,680,663</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8,266,746</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286,079,245</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251,295,105</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39,433,686</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After-market services income</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70,763,076</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36,733,261</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5,764,250</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241,193,243</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193,786,856</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rPr>
              <w:t>30,409,386</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Automobile trading income</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546,810,484</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703,861,083</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3"/>
              </w:rPr>
              <w:t>110,451,163</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624,773,721</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2"/>
              </w:rPr>
              <w:t>2,227,171,554</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w w:val="93"/>
              </w:rPr>
              <w:t>349,491,817</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Others</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2,682,708</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5,270,811</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827,106</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8,548,942</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15,906,679</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rPr>
              <w:t>2,496,105</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Operating cost and expenses:</w:t>
            </w:r>
          </w:p>
        </w:tc>
        <w:tc>
          <w:tcPr>
            <w:tcW w:w="11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Cost of revenue</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723,834,701</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880,667,760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w w:val="93"/>
              </w:rPr>
              <w:t>138,195,989</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w w:val="99"/>
              </w:rPr>
              <w:t>1,098,120,749</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w w:val="92"/>
              </w:rPr>
              <w:t>2,958,009,872</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w w:val="93"/>
              </w:rPr>
              <w:t>464,176,297</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Sales and marketing</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65,828,565</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73,810,746</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11,582,517</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195,893,662</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239,333,085</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37,556,584</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General and administrative</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90,084,628</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86,092,093</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13,509,728</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265,691,411</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276,179,441</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rPr>
              <w:t>43,338,581</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Research and development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22,986,127</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23,621,268</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3,706,692</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62,596,195</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70,278,081</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11,028,164</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Net loss on risk assurance liabilities</w:t>
            </w:r>
          </w:p>
        </w:tc>
        <w:tc>
          <w:tcPr>
            <w:tcW w:w="1380" w:type="dxa"/>
            <w:vAlign w:val="bottom"/>
            <w:gridSpan w:val="3"/>
          </w:tcPr>
          <w:p>
            <w:pPr>
              <w:jc w:val="right"/>
              <w:ind w:right="160"/>
              <w:spacing w:after="0"/>
              <w:rPr>
                <w:sz w:val="20"/>
                <w:szCs w:val="20"/>
                <w:color w:val="auto"/>
              </w:rPr>
            </w:pPr>
            <w:r>
              <w:rPr>
                <w:rFonts w:ascii="Arial" w:cs="Arial" w:eastAsia="Arial" w:hAnsi="Arial"/>
                <w:sz w:val="18"/>
                <w:szCs w:val="18"/>
                <w:color w:val="auto"/>
              </w:rPr>
              <w:t>(18,804,024)</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84,603,086</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13,276,070</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2,268,180</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197,750,449</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rPr>
              <w:t>31,031,361</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Provision for credit losses</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15,063,030</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58,773,728</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9,222,880</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109,564,631</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203,415,094</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31,920,267</w:t>
            </w:r>
          </w:p>
        </w:tc>
        <w:tc>
          <w:tcPr>
            <w:tcW w:w="0" w:type="dxa"/>
            <w:vAlign w:val="bottom"/>
          </w:tcPr>
          <w:p>
            <w:pPr>
              <w:spacing w:after="0"/>
              <w:rPr>
                <w:sz w:val="1"/>
                <w:szCs w:val="1"/>
                <w:color w:val="auto"/>
              </w:rPr>
            </w:pPr>
          </w:p>
        </w:tc>
      </w:tr>
      <w:tr>
        <w:trPr>
          <w:trHeight w:val="223"/>
        </w:trPr>
        <w:tc>
          <w:tcPr>
            <w:tcW w:w="3400" w:type="dxa"/>
            <w:vAlign w:val="bottom"/>
          </w:tcPr>
          <w:p>
            <w:pPr>
              <w:spacing w:after="0"/>
              <w:rPr>
                <w:sz w:val="20"/>
                <w:szCs w:val="20"/>
                <w:color w:val="auto"/>
              </w:rPr>
            </w:pPr>
            <w:r>
              <w:rPr>
                <w:rFonts w:ascii="Arial" w:cs="Arial" w:eastAsia="Arial" w:hAnsi="Arial"/>
                <w:sz w:val="18"/>
                <w:szCs w:val="18"/>
                <w:b w:val="1"/>
                <w:bCs w:val="1"/>
                <w:color w:val="auto"/>
              </w:rPr>
              <w:t>Total operation cost and expense</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898,993,027</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1,207,568,681</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189,493,876</w:t>
            </w:r>
          </w:p>
        </w:tc>
        <w:tc>
          <w:tcPr>
            <w:tcW w:w="22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1,734,134,828</w:t>
            </w:r>
          </w:p>
        </w:tc>
        <w:tc>
          <w:tcPr>
            <w:tcW w:w="220" w:type="dxa"/>
            <w:vAlign w:val="bottom"/>
          </w:tcPr>
          <w:p>
            <w:pPr>
              <w:spacing w:after="0"/>
              <w:rPr>
                <w:sz w:val="19"/>
                <w:szCs w:val="19"/>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2"/>
              </w:rPr>
              <w:t>3,944,966,022</w:t>
            </w:r>
          </w:p>
        </w:tc>
        <w:tc>
          <w:tcPr>
            <w:tcW w:w="220" w:type="dxa"/>
            <w:vAlign w:val="bottom"/>
          </w:tcPr>
          <w:p>
            <w:pPr>
              <w:spacing w:after="0"/>
              <w:rPr>
                <w:sz w:val="19"/>
                <w:szCs w:val="19"/>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3"/>
              </w:rPr>
              <w:t>619,051,254</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Income from operations</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rPr>
              <w:t>198,436,108</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(157,020,063)</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7"/>
              </w:rPr>
              <w:t>(24,639,873)</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b w:val="1"/>
                <w:bCs w:val="1"/>
                <w:color w:val="auto"/>
              </w:rPr>
              <w:t>318,296,924</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(23,249,616)</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(3,648,372)</w:t>
            </w:r>
          </w:p>
        </w:tc>
        <w:tc>
          <w:tcPr>
            <w:tcW w:w="0" w:type="dxa"/>
            <w:vAlign w:val="bottom"/>
          </w:tcPr>
          <w:p>
            <w:pPr>
              <w:spacing w:after="0"/>
              <w:rPr>
                <w:sz w:val="1"/>
                <w:szCs w:val="1"/>
                <w:color w:val="auto"/>
              </w:rPr>
            </w:pPr>
          </w:p>
        </w:tc>
      </w:tr>
      <w:tr>
        <w:trPr>
          <w:trHeight w:val="223"/>
        </w:trPr>
        <w:tc>
          <w:tcPr>
            <w:tcW w:w="3400" w:type="dxa"/>
            <w:vAlign w:val="bottom"/>
          </w:tcPr>
          <w:p>
            <w:pPr>
              <w:spacing w:after="0"/>
              <w:rPr>
                <w:sz w:val="20"/>
                <w:szCs w:val="20"/>
                <w:color w:val="auto"/>
              </w:rPr>
            </w:pPr>
            <w:r>
              <w:rPr>
                <w:rFonts w:ascii="Arial" w:cs="Arial" w:eastAsia="Arial" w:hAnsi="Arial"/>
                <w:sz w:val="18"/>
                <w:szCs w:val="18"/>
                <w:color w:val="auto"/>
              </w:rPr>
              <w:t>Interest and investment Income, net</w:t>
            </w: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12,123,098</w:t>
            </w:r>
          </w:p>
        </w:tc>
        <w:tc>
          <w:tcPr>
            <w:tcW w:w="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13,148,411</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2,063,273</w:t>
            </w:r>
          </w:p>
        </w:tc>
        <w:tc>
          <w:tcPr>
            <w:tcW w:w="220" w:type="dxa"/>
            <w:vAlign w:val="bottom"/>
          </w:tcPr>
          <w:p>
            <w:pPr>
              <w:spacing w:after="0"/>
              <w:rPr>
                <w:sz w:val="19"/>
                <w:szCs w:val="19"/>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72,806,814</w:t>
            </w:r>
          </w:p>
        </w:tc>
        <w:tc>
          <w:tcPr>
            <w:tcW w:w="220" w:type="dxa"/>
            <w:vAlign w:val="bottom"/>
          </w:tcPr>
          <w:p>
            <w:pPr>
              <w:spacing w:after="0"/>
              <w:rPr>
                <w:sz w:val="19"/>
                <w:szCs w:val="19"/>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50,370,800</w:t>
            </w:r>
          </w:p>
        </w:tc>
        <w:tc>
          <w:tcPr>
            <w:tcW w:w="220" w:type="dxa"/>
            <w:vAlign w:val="bottom"/>
          </w:tcPr>
          <w:p>
            <w:pPr>
              <w:spacing w:after="0"/>
              <w:rPr>
                <w:sz w:val="19"/>
                <w:szCs w:val="19"/>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7,904,278</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Fair value change of equity investment</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w w:val="99"/>
              </w:rPr>
              <w:t>1,487,757,246</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254,060,032</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39,867,563</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w w:val="99"/>
              </w:rPr>
              <w:t>3,315,475,734</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(36,988,851)</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(5,804,358)</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Interest expense</w:t>
            </w:r>
          </w:p>
        </w:tc>
        <w:tc>
          <w:tcPr>
            <w:tcW w:w="1380" w:type="dxa"/>
            <w:vAlign w:val="bottom"/>
            <w:gridSpan w:val="3"/>
          </w:tcPr>
          <w:p>
            <w:pPr>
              <w:jc w:val="right"/>
              <w:ind w:right="160"/>
              <w:spacing w:after="0"/>
              <w:rPr>
                <w:sz w:val="20"/>
                <w:szCs w:val="20"/>
                <w:color w:val="auto"/>
              </w:rPr>
            </w:pPr>
            <w:r>
              <w:rPr>
                <w:rFonts w:ascii="Arial" w:cs="Arial" w:eastAsia="Arial" w:hAnsi="Arial"/>
                <w:sz w:val="18"/>
                <w:szCs w:val="18"/>
                <w:color w:val="auto"/>
              </w:rPr>
              <w:t>(508,084)</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(5,347,490)</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(839,138)</w:t>
            </w:r>
          </w:p>
        </w:tc>
        <w:tc>
          <w:tcPr>
            <w:tcW w:w="1380" w:type="dxa"/>
            <w:vAlign w:val="bottom"/>
            <w:gridSpan w:val="2"/>
          </w:tcPr>
          <w:p>
            <w:pPr>
              <w:jc w:val="right"/>
              <w:ind w:right="88"/>
              <w:spacing w:after="0"/>
              <w:rPr>
                <w:sz w:val="20"/>
                <w:szCs w:val="20"/>
                <w:color w:val="auto"/>
              </w:rPr>
            </w:pPr>
            <w:r>
              <w:rPr>
                <w:rFonts w:ascii="Arial" w:cs="Arial" w:eastAsia="Arial" w:hAnsi="Arial"/>
                <w:sz w:val="18"/>
                <w:szCs w:val="18"/>
                <w:color w:val="auto"/>
              </w:rPr>
              <w:t>(2,758,629)</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(14,481,195)</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(2,272,415)</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Foreign exchange (loss) gain, net</w:t>
            </w:r>
          </w:p>
        </w:tc>
        <w:tc>
          <w:tcPr>
            <w:tcW w:w="13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(3,646,480)</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2,138,005</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335,500</w:t>
            </w:r>
          </w:p>
        </w:tc>
        <w:tc>
          <w:tcPr>
            <w:tcW w:w="1380" w:type="dxa"/>
            <w:vAlign w:val="bottom"/>
            <w:gridSpan w:val="2"/>
            <w:shd w:val="clear" w:color="auto" w:fill="CCEEFF"/>
          </w:tcPr>
          <w:p>
            <w:pPr>
              <w:jc w:val="right"/>
              <w:ind w:right="88"/>
              <w:spacing w:after="0"/>
              <w:rPr>
                <w:sz w:val="20"/>
                <w:szCs w:val="20"/>
                <w:color w:val="auto"/>
              </w:rPr>
            </w:pPr>
            <w:r>
              <w:rPr>
                <w:rFonts w:ascii="Arial" w:cs="Arial" w:eastAsia="Arial" w:hAnsi="Arial"/>
                <w:sz w:val="18"/>
                <w:szCs w:val="18"/>
                <w:color w:val="auto"/>
              </w:rPr>
              <w:t>(8,848,354)</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1,351,400</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212,064</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Other income, net</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15,333,721</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5,269,444</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826,891</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49,139,337</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41,911,589</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rPr>
              <w:t>6,576,843</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Other expenses</w:t>
            </w:r>
          </w:p>
        </w:tc>
        <w:tc>
          <w:tcPr>
            <w:tcW w:w="13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(240,239)</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(18,106)</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(2,841)</w:t>
            </w:r>
          </w:p>
        </w:tc>
        <w:tc>
          <w:tcPr>
            <w:tcW w:w="1380" w:type="dxa"/>
            <w:vAlign w:val="bottom"/>
            <w:gridSpan w:val="2"/>
            <w:shd w:val="clear" w:color="auto" w:fill="CCEEFF"/>
          </w:tcPr>
          <w:p>
            <w:pPr>
              <w:jc w:val="right"/>
              <w:ind w:right="88"/>
              <w:spacing w:after="0"/>
              <w:rPr>
                <w:sz w:val="20"/>
                <w:szCs w:val="20"/>
                <w:color w:val="auto"/>
              </w:rPr>
            </w:pPr>
            <w:r>
              <w:rPr>
                <w:rFonts w:ascii="Arial" w:cs="Arial" w:eastAsia="Arial" w:hAnsi="Arial"/>
                <w:sz w:val="18"/>
                <w:szCs w:val="18"/>
                <w:color w:val="auto"/>
              </w:rPr>
              <w:t>(838,115)</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(6,605,833)</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(1,036,599)</w:t>
            </w:r>
          </w:p>
        </w:tc>
        <w:tc>
          <w:tcPr>
            <w:tcW w:w="0" w:type="dxa"/>
            <w:vAlign w:val="bottom"/>
          </w:tcPr>
          <w:p>
            <w:pPr>
              <w:spacing w:after="0"/>
              <w:rPr>
                <w:sz w:val="1"/>
                <w:szCs w:val="1"/>
                <w:color w:val="auto"/>
              </w:rPr>
            </w:pPr>
          </w:p>
        </w:tc>
      </w:tr>
      <w:tr>
        <w:trPr>
          <w:trHeight w:val="230"/>
        </w:trPr>
        <w:tc>
          <w:tcPr>
            <w:tcW w:w="3400" w:type="dxa"/>
            <w:vAlign w:val="bottom"/>
          </w:tcPr>
          <w:p>
            <w:pPr>
              <w:spacing w:after="0"/>
              <w:rPr>
                <w:sz w:val="20"/>
                <w:szCs w:val="20"/>
                <w:color w:val="auto"/>
              </w:rPr>
            </w:pPr>
            <w:r>
              <w:rPr>
                <w:rFonts w:ascii="Arial" w:cs="Arial" w:eastAsia="Arial" w:hAnsi="Arial"/>
                <w:sz w:val="18"/>
                <w:szCs w:val="18"/>
                <w:b w:val="1"/>
                <w:bCs w:val="1"/>
                <w:color w:val="auto"/>
              </w:rPr>
              <w:t>Net income before income taxes</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1,709,255,370</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112,230,233</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17,611,375</w:t>
            </w:r>
          </w:p>
        </w:tc>
        <w:tc>
          <w:tcPr>
            <w:tcW w:w="220" w:type="dxa"/>
            <w:vAlign w:val="bottom"/>
          </w:tcPr>
          <w:p>
            <w:pPr>
              <w:spacing w:after="0"/>
              <w:rPr>
                <w:sz w:val="20"/>
                <w:szCs w:val="20"/>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3,743,273,711</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12,308,294</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1,931,441</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Income tax expenses</w:t>
            </w:r>
          </w:p>
        </w:tc>
        <w:tc>
          <w:tcPr>
            <w:tcW w:w="13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(140,762,635)</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11,896,807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1,866,869</w:t>
            </w:r>
          </w:p>
        </w:tc>
        <w:tc>
          <w:tcPr>
            <w:tcW w:w="1380" w:type="dxa"/>
            <w:vAlign w:val="bottom"/>
            <w:gridSpan w:val="2"/>
            <w:shd w:val="clear" w:color="auto" w:fill="CCEEFF"/>
          </w:tcPr>
          <w:p>
            <w:pPr>
              <w:jc w:val="right"/>
              <w:ind w:right="88"/>
              <w:spacing w:after="0"/>
              <w:rPr>
                <w:sz w:val="20"/>
                <w:szCs w:val="20"/>
                <w:color w:val="auto"/>
              </w:rPr>
            </w:pPr>
            <w:r>
              <w:rPr>
                <w:rFonts w:ascii="Arial" w:cs="Arial" w:eastAsia="Arial" w:hAnsi="Arial"/>
                <w:sz w:val="18"/>
                <w:szCs w:val="18"/>
                <w:color w:val="auto"/>
              </w:rPr>
              <w:t>(369,853,650)</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(20,852,646)</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(3,272,235)</w:t>
            </w:r>
          </w:p>
        </w:tc>
        <w:tc>
          <w:tcPr>
            <w:tcW w:w="0" w:type="dxa"/>
            <w:vAlign w:val="bottom"/>
          </w:tcPr>
          <w:p>
            <w:pPr>
              <w:spacing w:after="0"/>
              <w:rPr>
                <w:sz w:val="1"/>
                <w:szCs w:val="1"/>
                <w:color w:val="auto"/>
              </w:rPr>
            </w:pPr>
          </w:p>
        </w:tc>
      </w:tr>
      <w:tr>
        <w:trPr>
          <w:trHeight w:val="230"/>
        </w:trPr>
        <w:tc>
          <w:tcPr>
            <w:tcW w:w="3400" w:type="dxa"/>
            <w:vAlign w:val="bottom"/>
          </w:tcPr>
          <w:p>
            <w:pPr>
              <w:spacing w:after="0"/>
              <w:rPr>
                <w:sz w:val="20"/>
                <w:szCs w:val="20"/>
                <w:color w:val="auto"/>
              </w:rPr>
            </w:pPr>
            <w:r>
              <w:rPr>
                <w:rFonts w:ascii="Arial" w:cs="Arial" w:eastAsia="Arial" w:hAnsi="Arial"/>
                <w:sz w:val="18"/>
                <w:szCs w:val="18"/>
                <w:b w:val="1"/>
                <w:bCs w:val="1"/>
                <w:color w:val="auto"/>
              </w:rPr>
              <w:t>Net income (loss)</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1,568,492,735</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124,127,040</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19,478,244</w:t>
            </w:r>
          </w:p>
        </w:tc>
        <w:tc>
          <w:tcPr>
            <w:tcW w:w="220" w:type="dxa"/>
            <w:vAlign w:val="bottom"/>
          </w:tcPr>
          <w:p>
            <w:pPr>
              <w:spacing w:after="0"/>
              <w:rPr>
                <w:sz w:val="20"/>
                <w:szCs w:val="20"/>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3,373,420,061</w:t>
            </w:r>
          </w:p>
        </w:tc>
        <w:tc>
          <w:tcPr>
            <w:tcW w:w="220" w:type="dxa"/>
            <w:vAlign w:val="bottom"/>
          </w:tcPr>
          <w:p>
            <w:pPr>
              <w:spacing w:after="0"/>
              <w:rPr>
                <w:sz w:val="20"/>
                <w:szCs w:val="20"/>
                <w:color w:val="auto"/>
              </w:rPr>
            </w:pPr>
          </w:p>
        </w:tc>
        <w:tc>
          <w:tcPr>
            <w:tcW w:w="1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(8,544,352)</w:t>
            </w:r>
          </w:p>
        </w:tc>
        <w:tc>
          <w:tcPr>
            <w:tcW w:w="220" w:type="dxa"/>
            <w:vAlign w:val="bottom"/>
          </w:tcPr>
          <w:p>
            <w:pPr>
              <w:spacing w:after="0"/>
              <w:rPr>
                <w:sz w:val="20"/>
                <w:szCs w:val="20"/>
                <w:color w:val="auto"/>
              </w:rPr>
            </w:pP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(1,340,794)</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340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rPr>
              <w:t>Less: Net income attributable to</w:t>
            </w:r>
          </w:p>
        </w:tc>
        <w:tc>
          <w:tcPr>
            <w:tcW w:w="11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non-controlling interests</w:t>
            </w:r>
          </w:p>
        </w:tc>
        <w:tc>
          <w:tcPr>
            <w:tcW w:w="1380" w:type="dxa"/>
            <w:vAlign w:val="bottom"/>
            <w:gridSpan w:val="3"/>
            <w:shd w:val="clear" w:color="auto" w:fill="CCEEFF"/>
          </w:tcPr>
          <w:p>
            <w:pPr>
              <w:jc w:val="right"/>
              <w:ind w:right="32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1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3,902,214</w:t>
            </w:r>
          </w:p>
        </w:tc>
        <w:tc>
          <w:tcPr>
            <w:tcW w:w="10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5"/>
        </w:trPr>
        <w:tc>
          <w:tcPr>
            <w:tcW w:w="3400" w:type="dxa"/>
            <w:vAlign w:val="bottom"/>
          </w:tcPr>
          <w:p>
            <w:pPr>
              <w:spacing w:after="0" w:line="205" w:lineRule="exact"/>
              <w:rPr>
                <w:sz w:val="20"/>
                <w:szCs w:val="20"/>
                <w:color w:val="auto"/>
              </w:rPr>
            </w:pPr>
            <w:r>
              <w:rPr>
                <w:rFonts w:ascii="Arial" w:cs="Arial" w:eastAsia="Arial" w:hAnsi="Arial"/>
                <w:sz w:val="18"/>
                <w:szCs w:val="18"/>
                <w:b w:val="1"/>
                <w:bCs w:val="1"/>
                <w:color w:val="auto"/>
              </w:rPr>
              <w:t>Net income (loss) attributable to Cango</w:t>
            </w:r>
          </w:p>
        </w:tc>
        <w:tc>
          <w:tcPr>
            <w:tcW w:w="1160" w:type="dxa"/>
            <w:vAlign w:val="bottom"/>
            <w:tcBorders>
              <w:top w:val="single" w:sz="8" w:color="auto"/>
            </w:tcBorders>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Borders>
              <w:top w:val="single" w:sz="8" w:color="auto"/>
            </w:tcBorders>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1"/>
        </w:trPr>
        <w:tc>
          <w:tcPr>
            <w:tcW w:w="3400" w:type="dxa"/>
            <w:vAlign w:val="bottom"/>
          </w:tcPr>
          <w:p>
            <w:pPr>
              <w:ind w:left="180"/>
              <w:spacing w:after="0"/>
              <w:rPr>
                <w:sz w:val="20"/>
                <w:szCs w:val="20"/>
                <w:color w:val="auto"/>
              </w:rPr>
            </w:pPr>
            <w:r>
              <w:rPr>
                <w:rFonts w:ascii="Arial" w:cs="Arial" w:eastAsia="Arial" w:hAnsi="Arial"/>
                <w:sz w:val="18"/>
                <w:szCs w:val="18"/>
                <w:b w:val="1"/>
                <w:bCs w:val="1"/>
                <w:color w:val="auto"/>
              </w:rPr>
              <w:t>Inc.’s shareholders</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99"/>
              </w:rPr>
              <w:t>1,568,492,735</w:t>
            </w:r>
          </w:p>
        </w:tc>
        <w:tc>
          <w:tcPr>
            <w:tcW w:w="200" w:type="dxa"/>
            <w:vAlign w:val="bottom"/>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124,127,040</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19,478,244</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b w:val="1"/>
                <w:bCs w:val="1"/>
                <w:color w:val="auto"/>
                <w:w w:val="99"/>
              </w:rPr>
              <w:t>3,369,517,847</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(8,544,352)</w:t>
            </w:r>
          </w:p>
        </w:tc>
        <w:tc>
          <w:tcPr>
            <w:tcW w:w="1080" w:type="dxa"/>
            <w:vAlign w:val="bottom"/>
            <w:gridSpan w:val="2"/>
          </w:tcPr>
          <w:p>
            <w:pPr>
              <w:jc w:val="right"/>
              <w:spacing w:after="0"/>
              <w:rPr>
                <w:sz w:val="20"/>
                <w:szCs w:val="20"/>
                <w:color w:val="auto"/>
              </w:rPr>
            </w:pPr>
            <w:r>
              <w:rPr>
                <w:rFonts w:ascii="Arial" w:cs="Arial" w:eastAsia="Arial" w:hAnsi="Arial"/>
                <w:sz w:val="18"/>
                <w:szCs w:val="18"/>
                <w:b w:val="1"/>
                <w:bCs w:val="1"/>
                <w:color w:val="auto"/>
              </w:rPr>
              <w:t>(1,340,794)</w:t>
            </w:r>
          </w:p>
        </w:tc>
        <w:tc>
          <w:tcPr>
            <w:tcW w:w="0" w:type="dxa"/>
            <w:vAlign w:val="bottom"/>
          </w:tcPr>
          <w:p>
            <w:pPr>
              <w:spacing w:after="0"/>
              <w:rPr>
                <w:sz w:val="1"/>
                <w:szCs w:val="1"/>
                <w:color w:val="auto"/>
              </w:rPr>
            </w:pPr>
          </w:p>
        </w:tc>
      </w:tr>
      <w:tr>
        <w:trPr>
          <w:trHeight w:val="198"/>
        </w:trPr>
        <w:tc>
          <w:tcPr>
            <w:tcW w:w="340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5"/>
              </w:rPr>
              <w:t>Earnings per ADS attributable to ordinary</w:t>
            </w:r>
          </w:p>
        </w:tc>
        <w:tc>
          <w:tcPr>
            <w:tcW w:w="1160" w:type="dxa"/>
            <w:vAlign w:val="bottom"/>
            <w:tcBorders>
              <w:top w:val="single" w:sz="8" w:color="auto"/>
            </w:tcBorders>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tcBorders>
              <w:top w:val="single" w:sz="8" w:color="auto"/>
            </w:tcBorders>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shareholders:</w:t>
            </w:r>
          </w:p>
        </w:tc>
        <w:tc>
          <w:tcPr>
            <w:tcW w:w="116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6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6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Basic</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10.48</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0.88</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0.14</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22.43</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(0.06)</w:t>
            </w:r>
          </w:p>
        </w:tc>
        <w:tc>
          <w:tcPr>
            <w:tcW w:w="1080" w:type="dxa"/>
            <w:vAlign w:val="bottom"/>
            <w:gridSpan w:val="2"/>
          </w:tcPr>
          <w:p>
            <w:pPr>
              <w:jc w:val="right"/>
              <w:spacing w:after="0"/>
              <w:rPr>
                <w:sz w:val="20"/>
                <w:szCs w:val="20"/>
                <w:color w:val="auto"/>
              </w:rPr>
            </w:pPr>
            <w:r>
              <w:rPr>
                <w:rFonts w:ascii="Arial" w:cs="Arial" w:eastAsia="Arial" w:hAnsi="Arial"/>
                <w:sz w:val="18"/>
                <w:szCs w:val="18"/>
                <w:color w:val="auto"/>
              </w:rPr>
              <w:t>(0.01)</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Diluted</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10.40</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0.87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0.14</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22.17</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(0.06)</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(0.01)</w:t>
            </w:r>
          </w:p>
        </w:tc>
        <w:tc>
          <w:tcPr>
            <w:tcW w:w="0" w:type="dxa"/>
            <w:vAlign w:val="bottom"/>
          </w:tcPr>
          <w:p>
            <w:pPr>
              <w:spacing w:after="0"/>
              <w:rPr>
                <w:sz w:val="1"/>
                <w:szCs w:val="1"/>
                <w:color w:val="auto"/>
              </w:rPr>
            </w:pPr>
          </w:p>
        </w:tc>
      </w:tr>
      <w:tr>
        <w:trPr>
          <w:trHeight w:val="198"/>
        </w:trPr>
        <w:tc>
          <w:tcPr>
            <w:tcW w:w="3400" w:type="dxa"/>
            <w:vAlign w:val="bottom"/>
          </w:tcPr>
          <w:p>
            <w:pPr>
              <w:spacing w:after="0" w:line="198" w:lineRule="exact"/>
              <w:rPr>
                <w:sz w:val="20"/>
                <w:szCs w:val="20"/>
                <w:color w:val="auto"/>
              </w:rPr>
            </w:pPr>
            <w:r>
              <w:rPr>
                <w:rFonts w:ascii="Arial" w:cs="Arial" w:eastAsia="Arial" w:hAnsi="Arial"/>
                <w:sz w:val="18"/>
                <w:szCs w:val="18"/>
                <w:b w:val="1"/>
                <w:bCs w:val="1"/>
                <w:color w:val="auto"/>
                <w:w w:val="97"/>
              </w:rPr>
              <w:t>Weighted average ADS used to compute</w:t>
            </w: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b w:val="1"/>
                <w:bCs w:val="1"/>
                <w:color w:val="auto"/>
              </w:rPr>
              <w:t>earnings per ADS attributable to</w:t>
            </w: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0" w:type="dxa"/>
            <w:vAlign w:val="bottom"/>
          </w:tcPr>
          <w:p>
            <w:pPr>
              <w:ind w:left="180"/>
              <w:spacing w:after="0"/>
              <w:rPr>
                <w:sz w:val="20"/>
                <w:szCs w:val="20"/>
                <w:color w:val="auto"/>
              </w:rPr>
            </w:pPr>
            <w:r>
              <w:rPr>
                <w:rFonts w:ascii="Arial" w:cs="Arial" w:eastAsia="Arial" w:hAnsi="Arial"/>
                <w:sz w:val="18"/>
                <w:szCs w:val="18"/>
                <w:b w:val="1"/>
                <w:bCs w:val="1"/>
                <w:color w:val="auto"/>
              </w:rPr>
              <w:t>ordinary shareholders:</w:t>
            </w: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color w:val="auto"/>
              </w:rPr>
              <w:t>Basic</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149,696,285</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141,358,210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3"/>
              </w:rPr>
              <w:t>141,358,210</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color w:val="auto"/>
              </w:rPr>
              <w:t>150,242,378</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144,946,453</w:t>
            </w:r>
          </w:p>
        </w:tc>
        <w:tc>
          <w:tcPr>
            <w:tcW w:w="108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w w:val="93"/>
              </w:rPr>
              <w:t>144,946,453</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20"/>
                <w:szCs w:val="20"/>
                <w:color w:val="auto"/>
              </w:rPr>
            </w:pPr>
            <w:r>
              <w:rPr>
                <w:rFonts w:ascii="Arial" w:cs="Arial" w:eastAsia="Arial" w:hAnsi="Arial"/>
                <w:sz w:val="18"/>
                <w:szCs w:val="18"/>
                <w:color w:val="auto"/>
              </w:rPr>
              <w:t>Diluted</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color w:val="auto"/>
              </w:rPr>
              <w:t>150,822,105</w:t>
            </w:r>
          </w:p>
        </w:tc>
        <w:tc>
          <w:tcPr>
            <w:tcW w:w="200" w:type="dxa"/>
            <w:vAlign w:val="bottom"/>
          </w:tcPr>
          <w:p>
            <w:pPr>
              <w:spacing w:after="0"/>
              <w:rPr>
                <w:sz w:val="18"/>
                <w:szCs w:val="18"/>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142,105,618</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w w:val="93"/>
              </w:rPr>
              <w:t>142,105,618</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color w:val="auto"/>
              </w:rPr>
              <w:t>151,955,546</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144,946,453</w:t>
            </w:r>
          </w:p>
        </w:tc>
        <w:tc>
          <w:tcPr>
            <w:tcW w:w="1080" w:type="dxa"/>
            <w:vAlign w:val="bottom"/>
            <w:gridSpan w:val="2"/>
          </w:tcPr>
          <w:p>
            <w:pPr>
              <w:jc w:val="right"/>
              <w:ind w:right="41"/>
              <w:spacing w:after="0"/>
              <w:rPr>
                <w:sz w:val="20"/>
                <w:szCs w:val="20"/>
                <w:color w:val="auto"/>
              </w:rPr>
            </w:pPr>
            <w:r>
              <w:rPr>
                <w:rFonts w:ascii="Arial" w:cs="Arial" w:eastAsia="Arial" w:hAnsi="Arial"/>
                <w:sz w:val="18"/>
                <w:szCs w:val="18"/>
                <w:color w:val="auto"/>
                <w:w w:val="93"/>
              </w:rPr>
              <w:t>144,946,453</w:t>
            </w:r>
          </w:p>
        </w:tc>
        <w:tc>
          <w:tcPr>
            <w:tcW w:w="0" w:type="dxa"/>
            <w:vAlign w:val="bottom"/>
          </w:tcPr>
          <w:p>
            <w:pPr>
              <w:spacing w:after="0"/>
              <w:rPr>
                <w:sz w:val="1"/>
                <w:szCs w:val="1"/>
                <w:color w:val="auto"/>
              </w:rPr>
            </w:pPr>
          </w:p>
        </w:tc>
      </w:tr>
      <w:tr>
        <w:trPr>
          <w:trHeight w:val="198"/>
        </w:trPr>
        <w:tc>
          <w:tcPr>
            <w:tcW w:w="340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2"/>
              </w:rPr>
              <w:t>Other comprehensive (loss) income, net of</w:t>
            </w:r>
          </w:p>
        </w:tc>
        <w:tc>
          <w:tcPr>
            <w:tcW w:w="11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40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tax</w:t>
            </w:r>
          </w:p>
        </w:tc>
        <w:tc>
          <w:tcPr>
            <w:tcW w:w="1160" w:type="dxa"/>
            <w:vAlign w:val="bottom"/>
            <w:tcBorders>
              <w:bottom w:val="single" w:sz="8" w:color="auto"/>
            </w:tcBorders>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080" w:type="dxa"/>
            <w:vAlign w:val="bottom"/>
            <w:tcBorders>
              <w:bottom w:val="single" w:sz="8" w:color="auto"/>
            </w:tcBorders>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160" w:type="dxa"/>
            <w:vAlign w:val="bottom"/>
            <w:tcBorders>
              <w:bottom w:val="single" w:sz="8" w:color="auto"/>
            </w:tcBorders>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080" w:type="dxa"/>
            <w:vAlign w:val="bottom"/>
            <w:tcBorders>
              <w:bottom w:val="single" w:sz="8" w:color="auto"/>
            </w:tcBorders>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30"/>
        </w:trPr>
        <w:tc>
          <w:tcPr>
            <w:tcW w:w="3400" w:type="dxa"/>
            <w:vAlign w:val="bottom"/>
          </w:tcPr>
          <w:p>
            <w:pPr>
              <w:spacing w:after="0"/>
              <w:rPr>
                <w:sz w:val="20"/>
                <w:szCs w:val="20"/>
                <w:color w:val="auto"/>
              </w:rPr>
            </w:pPr>
            <w:r>
              <w:rPr>
                <w:rFonts w:ascii="Arial" w:cs="Arial" w:eastAsia="Arial" w:hAnsi="Arial"/>
                <w:sz w:val="18"/>
                <w:szCs w:val="18"/>
                <w:color w:val="auto"/>
              </w:rPr>
              <w:t>Foreign currency translation adjustment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(152,747,428)</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(34,302,349)</w:t>
            </w:r>
          </w:p>
        </w:tc>
        <w:tc>
          <w:tcPr>
            <w:tcW w:w="22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(5,382,787)</w:t>
            </w:r>
          </w:p>
        </w:tc>
        <w:tc>
          <w:tcPr>
            <w:tcW w:w="220" w:type="dxa"/>
            <w:vAlign w:val="bottom"/>
          </w:tcPr>
          <w:p>
            <w:pPr>
              <w:spacing w:after="0"/>
              <w:rPr>
                <w:sz w:val="20"/>
                <w:szCs w:val="20"/>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(234,817,165)</w:t>
            </w:r>
          </w:p>
        </w:tc>
        <w:tc>
          <w:tcPr>
            <w:tcW w:w="220" w:type="dxa"/>
            <w:vAlign w:val="bottom"/>
          </w:tcPr>
          <w:p>
            <w:pPr>
              <w:spacing w:after="0"/>
              <w:rPr>
                <w:sz w:val="20"/>
                <w:szCs w:val="20"/>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(72,130,683)</w:t>
            </w:r>
          </w:p>
        </w:tc>
        <w:tc>
          <w:tcPr>
            <w:tcW w:w="220" w:type="dxa"/>
            <w:vAlign w:val="bottom"/>
          </w:tcPr>
          <w:p>
            <w:pPr>
              <w:spacing w:after="0"/>
              <w:rPr>
                <w:sz w:val="20"/>
                <w:szCs w:val="20"/>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w w:val="97"/>
              </w:rPr>
              <w:t>(11,318,878</w:t>
            </w:r>
          </w:p>
        </w:tc>
        <w:tc>
          <w:tcPr>
            <w:tcW w:w="120" w:type="dxa"/>
            <w:vAlign w:val="bottom"/>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6"/>
        </w:trPr>
        <w:tc>
          <w:tcPr>
            <w:tcW w:w="34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comprehensive income (loss)</w:t>
            </w:r>
          </w:p>
        </w:tc>
        <w:tc>
          <w:tcPr>
            <w:tcW w:w="11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b w:val="1"/>
                <w:bCs w:val="1"/>
                <w:color w:val="auto"/>
                <w:w w:val="99"/>
              </w:rPr>
              <w:t>1,415,745,307</w:t>
            </w:r>
          </w:p>
        </w:tc>
        <w:tc>
          <w:tcPr>
            <w:tcW w:w="20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89,824,691</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14,095,457</w:t>
            </w:r>
          </w:p>
        </w:tc>
        <w:tc>
          <w:tcPr>
            <w:tcW w:w="1380" w:type="dxa"/>
            <w:vAlign w:val="bottom"/>
            <w:gridSpan w:val="2"/>
            <w:shd w:val="clear" w:color="auto" w:fill="CCEEFF"/>
          </w:tcPr>
          <w:p>
            <w:pPr>
              <w:jc w:val="right"/>
              <w:ind w:right="148"/>
              <w:spacing w:after="0"/>
              <w:rPr>
                <w:sz w:val="20"/>
                <w:szCs w:val="20"/>
                <w:color w:val="auto"/>
              </w:rPr>
            </w:pPr>
            <w:r>
              <w:rPr>
                <w:rFonts w:ascii="Arial" w:cs="Arial" w:eastAsia="Arial" w:hAnsi="Arial"/>
                <w:sz w:val="18"/>
                <w:szCs w:val="18"/>
                <w:b w:val="1"/>
                <w:bCs w:val="1"/>
                <w:color w:val="auto"/>
                <w:w w:val="99"/>
              </w:rPr>
              <w:t>3,138,602,896</w:t>
            </w:r>
          </w:p>
        </w:tc>
        <w:tc>
          <w:tcPr>
            <w:tcW w:w="13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(80,675,035)</w:t>
            </w:r>
          </w:p>
        </w:tc>
        <w:tc>
          <w:tcPr>
            <w:tcW w:w="10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w w:val="97"/>
              </w:rPr>
              <w:t>(12,659,672)</w:t>
            </w:r>
          </w:p>
        </w:tc>
        <w:tc>
          <w:tcPr>
            <w:tcW w:w="0" w:type="dxa"/>
            <w:vAlign w:val="bottom"/>
          </w:tcPr>
          <w:p>
            <w:pPr>
              <w:spacing w:after="0"/>
              <w:rPr>
                <w:sz w:val="1"/>
                <w:szCs w:val="1"/>
                <w:color w:val="auto"/>
              </w:rPr>
            </w:pPr>
          </w:p>
        </w:tc>
      </w:tr>
      <w:tr>
        <w:trPr>
          <w:trHeight w:val="20"/>
        </w:trPr>
        <w:tc>
          <w:tcPr>
            <w:tcW w:w="3400" w:type="dxa"/>
            <w:vAlign w:val="bottom"/>
            <w:vMerge w:val="restart"/>
          </w:tcPr>
          <w:p>
            <w:pPr>
              <w:spacing w:after="0"/>
              <w:rPr>
                <w:sz w:val="20"/>
                <w:szCs w:val="20"/>
                <w:color w:val="auto"/>
              </w:rPr>
            </w:pPr>
            <w:r>
              <w:rPr>
                <w:rFonts w:ascii="Arial" w:cs="Arial" w:eastAsia="Arial" w:hAnsi="Arial"/>
                <w:sz w:val="18"/>
                <w:szCs w:val="18"/>
                <w:b w:val="1"/>
                <w:bCs w:val="1"/>
                <w:color w:val="auto"/>
              </w:rPr>
              <w:t>Total comprehensive income (loss)</w:t>
            </w: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2"/>
        </w:trPr>
        <w:tc>
          <w:tcPr>
            <w:tcW w:w="3400" w:type="dxa"/>
            <w:vAlign w:val="bottom"/>
            <w:vMerge w:val="continue"/>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3400" w:type="dxa"/>
            <w:vAlign w:val="bottom"/>
          </w:tcPr>
          <w:p>
            <w:pPr>
              <w:ind w:left="180"/>
              <w:spacing w:after="0"/>
              <w:rPr>
                <w:sz w:val="20"/>
                <w:szCs w:val="20"/>
                <w:color w:val="auto"/>
              </w:rPr>
            </w:pPr>
            <w:r>
              <w:rPr>
                <w:rFonts w:ascii="Arial" w:cs="Arial" w:eastAsia="Arial" w:hAnsi="Arial"/>
                <w:sz w:val="18"/>
                <w:szCs w:val="18"/>
                <w:b w:val="1"/>
                <w:bCs w:val="1"/>
                <w:color w:val="auto"/>
              </w:rPr>
              <w:t>attributable to Cango Inc.’s</w:t>
            </w: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0" w:type="dxa"/>
            <w:vAlign w:val="bottom"/>
          </w:tcPr>
          <w:p>
            <w:pPr>
              <w:ind w:left="180"/>
              <w:spacing w:after="0"/>
              <w:rPr>
                <w:sz w:val="20"/>
                <w:szCs w:val="20"/>
                <w:color w:val="auto"/>
              </w:rPr>
            </w:pPr>
            <w:r>
              <w:rPr>
                <w:rFonts w:ascii="Arial" w:cs="Arial" w:eastAsia="Arial" w:hAnsi="Arial"/>
                <w:sz w:val="18"/>
                <w:szCs w:val="18"/>
                <w:b w:val="1"/>
                <w:bCs w:val="1"/>
                <w:color w:val="auto"/>
              </w:rPr>
              <w:t>shareholders</w:t>
            </w:r>
          </w:p>
        </w:tc>
        <w:tc>
          <w:tcPr>
            <w:tcW w:w="118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w w:val="99"/>
              </w:rPr>
              <w:t>1,415,745,307</w:t>
            </w:r>
          </w:p>
        </w:tc>
        <w:tc>
          <w:tcPr>
            <w:tcW w:w="200" w:type="dxa"/>
            <w:vAlign w:val="bottom"/>
          </w:tcPr>
          <w:p>
            <w:pPr>
              <w:spacing w:after="0"/>
              <w:rPr>
                <w:sz w:val="20"/>
                <w:szCs w:val="20"/>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89,824,691</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14,095,457</w:t>
            </w:r>
          </w:p>
        </w:tc>
        <w:tc>
          <w:tcPr>
            <w:tcW w:w="1380" w:type="dxa"/>
            <w:vAlign w:val="bottom"/>
            <w:gridSpan w:val="2"/>
          </w:tcPr>
          <w:p>
            <w:pPr>
              <w:jc w:val="right"/>
              <w:ind w:right="148"/>
              <w:spacing w:after="0"/>
              <w:rPr>
                <w:sz w:val="20"/>
                <w:szCs w:val="20"/>
                <w:color w:val="auto"/>
              </w:rPr>
            </w:pPr>
            <w:r>
              <w:rPr>
                <w:rFonts w:ascii="Arial" w:cs="Arial" w:eastAsia="Arial" w:hAnsi="Arial"/>
                <w:sz w:val="18"/>
                <w:szCs w:val="18"/>
                <w:b w:val="1"/>
                <w:bCs w:val="1"/>
                <w:color w:val="auto"/>
                <w:w w:val="99"/>
              </w:rPr>
              <w:t>3,134,700,682</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(80,675,035)</w:t>
            </w:r>
          </w:p>
        </w:tc>
        <w:tc>
          <w:tcPr>
            <w:tcW w:w="1080" w:type="dxa"/>
            <w:vAlign w:val="bottom"/>
            <w:gridSpan w:val="2"/>
          </w:tcPr>
          <w:p>
            <w:pPr>
              <w:jc w:val="right"/>
              <w:spacing w:after="0"/>
              <w:rPr>
                <w:sz w:val="20"/>
                <w:szCs w:val="20"/>
                <w:color w:val="auto"/>
              </w:rPr>
            </w:pPr>
            <w:r>
              <w:rPr>
                <w:rFonts w:ascii="Arial" w:cs="Arial" w:eastAsia="Arial" w:hAnsi="Arial"/>
                <w:sz w:val="18"/>
                <w:szCs w:val="18"/>
                <w:b w:val="1"/>
                <w:bCs w:val="1"/>
                <w:color w:val="auto"/>
                <w:w w:val="97"/>
              </w:rPr>
              <w:t>(12,659,672)</w:t>
            </w:r>
          </w:p>
        </w:tc>
        <w:tc>
          <w:tcPr>
            <w:tcW w:w="0" w:type="dxa"/>
            <w:vAlign w:val="bottom"/>
          </w:tcPr>
          <w:p>
            <w:pPr>
              <w:spacing w:after="0"/>
              <w:rPr>
                <w:sz w:val="1"/>
                <w:szCs w:val="1"/>
                <w:color w:val="auto"/>
              </w:rPr>
            </w:pPr>
          </w:p>
        </w:tc>
      </w:tr>
      <w:tr>
        <w:trPr>
          <w:trHeight w:val="20"/>
        </w:trPr>
        <w:tc>
          <w:tcPr>
            <w:tcW w:w="340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ectPr>
          <w:pgSz w:w="11900" w:h="16838" w:orient="portrait"/>
          <w:cols w:equalWidth="0" w:num="1">
            <w:col w:w="11020"/>
          </w:cols>
          <w:pgMar w:left="440" w:top="270" w:right="439" w:bottom="1440" w:gutter="0" w:footer="0" w:header="0"/>
        </w:sectPr>
      </w:pPr>
    </w:p>
    <w:bookmarkStart w:id="14" w:name="page15"/>
    <w:bookmarkEnd w:id="14"/>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74865" cy="38735"/>
                    </a:xfrm>
                    <a:prstGeom prst="rect">
                      <a:avLst/>
                    </a:prstGeom>
                    <a:noFill/>
                  </pic:spPr>
                </pic:pic>
              </a:graphicData>
            </a:graphic>
          </wp:anchor>
        </w:drawing>
        <w:t>CANGO INC.</w:t>
      </w:r>
    </w:p>
    <w:p>
      <w:pPr>
        <w:spacing w:after="0" w:line="27"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RECONCILIATIONS OF GAAP AND NON-GAAP RESULTS</w:t>
      </w:r>
    </w:p>
    <w:p>
      <w:pPr>
        <w:spacing w:after="0" w:line="9" w:lineRule="exact"/>
        <w:rPr>
          <w:sz w:val="20"/>
          <w:szCs w:val="20"/>
          <w:color w:val="auto"/>
        </w:rPr>
      </w:pPr>
    </w:p>
    <w:p>
      <w:pPr>
        <w:jc w:val="center"/>
        <w:ind w:right="20"/>
        <w:spacing w:after="0"/>
        <w:rPr>
          <w:sz w:val="20"/>
          <w:szCs w:val="20"/>
          <w:color w:val="auto"/>
        </w:rPr>
      </w:pPr>
      <w:r>
        <w:rPr>
          <w:rFonts w:ascii="Arial" w:cs="Arial" w:eastAsia="Arial" w:hAnsi="Arial"/>
          <w:sz w:val="18"/>
          <w:szCs w:val="18"/>
          <w:b w:val="1"/>
          <w:bCs w:val="1"/>
          <w:color w:val="auto"/>
        </w:rPr>
        <w:t>(Amounts in Renminbi (“RMB”) and US dollar (“US$”), except for number of shares and per share data</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3840" w:type="dxa"/>
            <w:vAlign w:val="bottom"/>
          </w:tcPr>
          <w:p>
            <w:pPr>
              <w:spacing w:after="0"/>
              <w:rPr>
                <w:sz w:val="14"/>
                <w:szCs w:val="14"/>
                <w:color w:val="auto"/>
              </w:rPr>
            </w:pPr>
          </w:p>
        </w:tc>
        <w:tc>
          <w:tcPr>
            <w:tcW w:w="3560" w:type="dxa"/>
            <w:vAlign w:val="bottom"/>
            <w:gridSpan w:val="6"/>
          </w:tcPr>
          <w:p>
            <w:pPr>
              <w:jc w:val="right"/>
              <w:ind w:right="1000"/>
              <w:spacing w:after="0"/>
              <w:rPr>
                <w:sz w:val="20"/>
                <w:szCs w:val="20"/>
                <w:color w:val="auto"/>
              </w:rPr>
            </w:pPr>
            <w:r>
              <w:rPr>
                <w:rFonts w:ascii="Arial" w:cs="Arial" w:eastAsia="Arial" w:hAnsi="Arial"/>
                <w:sz w:val="14"/>
                <w:szCs w:val="14"/>
                <w:b w:val="1"/>
                <w:bCs w:val="1"/>
                <w:color w:val="auto"/>
              </w:rPr>
              <w:t>For the three months ended</w:t>
            </w:r>
          </w:p>
        </w:tc>
        <w:tc>
          <w:tcPr>
            <w:tcW w:w="2520" w:type="dxa"/>
            <w:vAlign w:val="bottom"/>
            <w:gridSpan w:val="4"/>
          </w:tcPr>
          <w:p>
            <w:pPr>
              <w:jc w:val="right"/>
              <w:ind w:right="160"/>
              <w:spacing w:after="0"/>
              <w:rPr>
                <w:sz w:val="20"/>
                <w:szCs w:val="20"/>
                <w:color w:val="auto"/>
              </w:rPr>
            </w:pPr>
            <w:r>
              <w:rPr>
                <w:rFonts w:ascii="Arial" w:cs="Arial" w:eastAsia="Arial" w:hAnsi="Arial"/>
                <w:sz w:val="14"/>
                <w:szCs w:val="14"/>
                <w:b w:val="1"/>
                <w:bCs w:val="1"/>
                <w:color w:val="auto"/>
              </w:rPr>
              <w:t>For the years ended</w:t>
            </w:r>
          </w:p>
        </w:tc>
        <w:tc>
          <w:tcPr>
            <w:tcW w:w="9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3840" w:type="dxa"/>
            <w:vAlign w:val="bottom"/>
          </w:tcPr>
          <w:p>
            <w:pPr>
              <w:spacing w:after="0"/>
              <w:rPr>
                <w:sz w:val="10"/>
                <w:szCs w:val="10"/>
                <w:color w:val="auto"/>
              </w:rPr>
            </w:pPr>
          </w:p>
        </w:tc>
        <w:tc>
          <w:tcPr>
            <w:tcW w:w="1320" w:type="dxa"/>
            <w:vAlign w:val="bottom"/>
            <w:tcBorders>
              <w:top w:val="single" w:sz="8" w:color="auto"/>
            </w:tcBorders>
            <w:gridSpan w:val="2"/>
          </w:tcPr>
          <w:p>
            <w:pPr>
              <w:jc w:val="center"/>
              <w:ind w:right="160"/>
              <w:spacing w:after="0" w:line="119" w:lineRule="exact"/>
              <w:rPr>
                <w:sz w:val="20"/>
                <w:szCs w:val="20"/>
                <w:color w:val="auto"/>
              </w:rPr>
            </w:pPr>
            <w:r>
              <w:rPr>
                <w:rFonts w:ascii="Arial" w:cs="Arial" w:eastAsia="Arial" w:hAnsi="Arial"/>
                <w:sz w:val="13"/>
                <w:szCs w:val="13"/>
                <w:b w:val="1"/>
                <w:bCs w:val="1"/>
                <w:color w:val="auto"/>
                <w:w w:val="99"/>
              </w:rPr>
              <w:t>December 31, 2020</w:t>
            </w:r>
          </w:p>
        </w:tc>
        <w:tc>
          <w:tcPr>
            <w:tcW w:w="2080" w:type="dxa"/>
            <w:vAlign w:val="bottom"/>
            <w:tcBorders>
              <w:top w:val="single" w:sz="8" w:color="auto"/>
            </w:tcBorders>
            <w:gridSpan w:val="3"/>
          </w:tcPr>
          <w:p>
            <w:pPr>
              <w:jc w:val="right"/>
              <w:ind w:right="372"/>
              <w:spacing w:after="0" w:line="119" w:lineRule="exact"/>
              <w:rPr>
                <w:sz w:val="20"/>
                <w:szCs w:val="20"/>
                <w:color w:val="auto"/>
              </w:rPr>
            </w:pPr>
            <w:r>
              <w:rPr>
                <w:rFonts w:ascii="Arial" w:cs="Arial" w:eastAsia="Arial" w:hAnsi="Arial"/>
                <w:sz w:val="13"/>
                <w:szCs w:val="13"/>
                <w:b w:val="1"/>
                <w:bCs w:val="1"/>
                <w:color w:val="auto"/>
              </w:rPr>
              <w:t>December 31, 2021</w:t>
            </w:r>
          </w:p>
        </w:tc>
        <w:tc>
          <w:tcPr>
            <w:tcW w:w="160" w:type="dxa"/>
            <w:vAlign w:val="bottom"/>
          </w:tcPr>
          <w:p>
            <w:pPr>
              <w:spacing w:after="0"/>
              <w:rPr>
                <w:sz w:val="10"/>
                <w:szCs w:val="10"/>
                <w:color w:val="auto"/>
              </w:rPr>
            </w:pPr>
          </w:p>
        </w:tc>
        <w:tc>
          <w:tcPr>
            <w:tcW w:w="1340" w:type="dxa"/>
            <w:vAlign w:val="bottom"/>
            <w:tcBorders>
              <w:top w:val="single" w:sz="8" w:color="auto"/>
            </w:tcBorders>
            <w:gridSpan w:val="2"/>
          </w:tcPr>
          <w:p>
            <w:pPr>
              <w:jc w:val="center"/>
              <w:ind w:right="140"/>
              <w:spacing w:after="0" w:line="119" w:lineRule="exact"/>
              <w:rPr>
                <w:sz w:val="20"/>
                <w:szCs w:val="20"/>
                <w:color w:val="auto"/>
              </w:rPr>
            </w:pPr>
            <w:r>
              <w:rPr>
                <w:rFonts w:ascii="Arial" w:cs="Arial" w:eastAsia="Arial" w:hAnsi="Arial"/>
                <w:sz w:val="13"/>
                <w:szCs w:val="13"/>
                <w:b w:val="1"/>
                <w:bCs w:val="1"/>
                <w:color w:val="auto"/>
                <w:w w:val="99"/>
              </w:rPr>
              <w:t>December 31, 2020</w:t>
            </w:r>
          </w:p>
        </w:tc>
        <w:tc>
          <w:tcPr>
            <w:tcW w:w="2160" w:type="dxa"/>
            <w:vAlign w:val="bottom"/>
            <w:tcBorders>
              <w:top w:val="single" w:sz="8" w:color="auto"/>
            </w:tcBorders>
            <w:gridSpan w:val="3"/>
          </w:tcPr>
          <w:p>
            <w:pPr>
              <w:jc w:val="right"/>
              <w:ind w:right="412"/>
              <w:spacing w:after="0" w:line="119" w:lineRule="exact"/>
              <w:rPr>
                <w:sz w:val="20"/>
                <w:szCs w:val="20"/>
                <w:color w:val="auto"/>
              </w:rPr>
            </w:pPr>
            <w:r>
              <w:rPr>
                <w:rFonts w:ascii="Arial" w:cs="Arial" w:eastAsia="Arial" w:hAnsi="Arial"/>
                <w:sz w:val="13"/>
                <w:szCs w:val="13"/>
                <w:b w:val="1"/>
                <w:bCs w:val="1"/>
                <w:color w:val="auto"/>
              </w:rPr>
              <w:t>December 31, 2021</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8"/>
        </w:trPr>
        <w:tc>
          <w:tcPr>
            <w:tcW w:w="3840" w:type="dxa"/>
            <w:vAlign w:val="bottom"/>
          </w:tcPr>
          <w:p>
            <w:pPr>
              <w:spacing w:after="0"/>
              <w:rPr>
                <w:sz w:val="12"/>
                <w:szCs w:val="12"/>
                <w:color w:val="auto"/>
              </w:rPr>
            </w:pPr>
          </w:p>
        </w:tc>
        <w:tc>
          <w:tcPr>
            <w:tcW w:w="1320" w:type="dxa"/>
            <w:vAlign w:val="bottom"/>
            <w:gridSpan w:val="2"/>
          </w:tcPr>
          <w:p>
            <w:pPr>
              <w:jc w:val="center"/>
              <w:ind w:right="14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b w:val="1"/>
                <w:bCs w:val="1"/>
                <w:color w:val="auto"/>
              </w:rPr>
              <w:t>(Unaudited)</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b w:val="1"/>
                <w:bCs w:val="1"/>
                <w:color w:val="auto"/>
              </w:rPr>
              <w:t>(Unaudited)</w:t>
            </w:r>
          </w:p>
        </w:tc>
        <w:tc>
          <w:tcPr>
            <w:tcW w:w="1340" w:type="dxa"/>
            <w:vAlign w:val="bottom"/>
            <w:gridSpan w:val="2"/>
          </w:tcPr>
          <w:p>
            <w:pPr>
              <w:jc w:val="center"/>
              <w:ind w:right="160"/>
              <w:spacing w:after="0" w:line="149" w:lineRule="exact"/>
              <w:rPr>
                <w:sz w:val="20"/>
                <w:szCs w:val="20"/>
                <w:color w:val="auto"/>
              </w:rPr>
            </w:pPr>
            <w:r>
              <w:rPr>
                <w:rFonts w:ascii="Arial" w:cs="Arial" w:eastAsia="Arial" w:hAnsi="Arial"/>
                <w:sz w:val="14"/>
                <w:szCs w:val="14"/>
                <w:b w:val="1"/>
                <w:bCs w:val="1"/>
                <w:color w:val="auto"/>
                <w:w w:val="95"/>
              </w:rPr>
              <w:t>(Unaudited)</w:t>
            </w:r>
          </w:p>
        </w:tc>
        <w:tc>
          <w:tcPr>
            <w:tcW w:w="1180" w:type="dxa"/>
            <w:vAlign w:val="bottom"/>
            <w:gridSpan w:val="2"/>
          </w:tcPr>
          <w:p>
            <w:pPr>
              <w:jc w:val="right"/>
              <w:ind w:right="320"/>
              <w:spacing w:after="0" w:line="149" w:lineRule="exact"/>
              <w:rPr>
                <w:sz w:val="20"/>
                <w:szCs w:val="20"/>
                <w:color w:val="auto"/>
              </w:rPr>
            </w:pPr>
            <w:r>
              <w:rPr>
                <w:rFonts w:ascii="Arial" w:cs="Arial" w:eastAsia="Arial" w:hAnsi="Arial"/>
                <w:sz w:val="14"/>
                <w:szCs w:val="14"/>
                <w:b w:val="1"/>
                <w:bCs w:val="1"/>
                <w:color w:val="auto"/>
              </w:rPr>
              <w:t>(Unaudited)</w:t>
            </w:r>
          </w:p>
        </w:tc>
        <w:tc>
          <w:tcPr>
            <w:tcW w:w="1100" w:type="dxa"/>
            <w:vAlign w:val="bottom"/>
            <w:gridSpan w:val="2"/>
          </w:tcPr>
          <w:p>
            <w:pPr>
              <w:jc w:val="right"/>
              <w:ind w:right="240"/>
              <w:spacing w:after="0" w:line="149" w:lineRule="exact"/>
              <w:rPr>
                <w:sz w:val="20"/>
                <w:szCs w:val="20"/>
                <w:color w:val="auto"/>
              </w:rPr>
            </w:pPr>
            <w:r>
              <w:rPr>
                <w:rFonts w:ascii="Arial" w:cs="Arial" w:eastAsia="Arial" w:hAnsi="Arial"/>
                <w:sz w:val="14"/>
                <w:szCs w:val="14"/>
                <w:b w:val="1"/>
                <w:bCs w:val="1"/>
                <w:color w:val="auto"/>
              </w:rPr>
              <w:t>(Unaudited)</w:t>
            </w:r>
          </w:p>
        </w:tc>
        <w:tc>
          <w:tcPr>
            <w:tcW w:w="0" w:type="dxa"/>
            <w:vAlign w:val="bottom"/>
          </w:tcPr>
          <w:p>
            <w:pPr>
              <w:spacing w:after="0"/>
              <w:rPr>
                <w:sz w:val="1"/>
                <w:szCs w:val="1"/>
                <w:color w:val="auto"/>
              </w:rPr>
            </w:pPr>
          </w:p>
        </w:tc>
      </w:tr>
      <w:tr>
        <w:trPr>
          <w:trHeight w:val="171"/>
        </w:trPr>
        <w:tc>
          <w:tcPr>
            <w:tcW w:w="3840" w:type="dxa"/>
            <w:vAlign w:val="bottom"/>
          </w:tcPr>
          <w:p>
            <w:pPr>
              <w:spacing w:after="0"/>
              <w:rPr>
                <w:sz w:val="14"/>
                <w:szCs w:val="14"/>
                <w:color w:val="auto"/>
              </w:rPr>
            </w:pPr>
          </w:p>
        </w:tc>
        <w:tc>
          <w:tcPr>
            <w:tcW w:w="1320" w:type="dxa"/>
            <w:vAlign w:val="bottom"/>
            <w:gridSpan w:val="2"/>
          </w:tcPr>
          <w:p>
            <w:pPr>
              <w:jc w:val="center"/>
              <w:ind w:right="140"/>
              <w:spacing w:after="0"/>
              <w:rPr>
                <w:sz w:val="20"/>
                <w:szCs w:val="20"/>
                <w:color w:val="auto"/>
              </w:rPr>
            </w:pPr>
            <w:r>
              <w:rPr>
                <w:rFonts w:ascii="Arial" w:cs="Arial" w:eastAsia="Arial" w:hAnsi="Arial"/>
                <w:sz w:val="14"/>
                <w:szCs w:val="14"/>
                <w:b w:val="1"/>
                <w:bCs w:val="1"/>
                <w:color w:val="auto"/>
              </w:rPr>
              <w:t>RMB</w:t>
            </w:r>
          </w:p>
        </w:tc>
        <w:tc>
          <w:tcPr>
            <w:tcW w:w="112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RMB</w:t>
            </w:r>
          </w:p>
        </w:tc>
        <w:tc>
          <w:tcPr>
            <w:tcW w:w="1120" w:type="dxa"/>
            <w:vAlign w:val="bottom"/>
            <w:gridSpan w:val="2"/>
          </w:tcPr>
          <w:p>
            <w:pPr>
              <w:jc w:val="right"/>
              <w:ind w:right="500"/>
              <w:spacing w:after="0"/>
              <w:rPr>
                <w:sz w:val="20"/>
                <w:szCs w:val="20"/>
                <w:color w:val="auto"/>
              </w:rPr>
            </w:pPr>
            <w:r>
              <w:rPr>
                <w:rFonts w:ascii="Arial" w:cs="Arial" w:eastAsia="Arial" w:hAnsi="Arial"/>
                <w:sz w:val="14"/>
                <w:szCs w:val="14"/>
                <w:b w:val="1"/>
                <w:bCs w:val="1"/>
                <w:color w:val="auto"/>
              </w:rPr>
              <w:t>US$</w:t>
            </w:r>
          </w:p>
        </w:tc>
        <w:tc>
          <w:tcPr>
            <w:tcW w:w="1340" w:type="dxa"/>
            <w:vAlign w:val="bottom"/>
            <w:gridSpan w:val="2"/>
          </w:tcPr>
          <w:p>
            <w:pPr>
              <w:jc w:val="center"/>
              <w:ind w:right="160"/>
              <w:spacing w:after="0"/>
              <w:rPr>
                <w:sz w:val="20"/>
                <w:szCs w:val="20"/>
                <w:color w:val="auto"/>
              </w:rPr>
            </w:pPr>
            <w:r>
              <w:rPr>
                <w:rFonts w:ascii="Arial" w:cs="Arial" w:eastAsia="Arial" w:hAnsi="Arial"/>
                <w:sz w:val="14"/>
                <w:szCs w:val="14"/>
                <w:b w:val="1"/>
                <w:bCs w:val="1"/>
                <w:color w:val="auto"/>
              </w:rPr>
              <w:t>RMB</w:t>
            </w:r>
          </w:p>
        </w:tc>
        <w:tc>
          <w:tcPr>
            <w:tcW w:w="1180" w:type="dxa"/>
            <w:vAlign w:val="bottom"/>
            <w:gridSpan w:val="2"/>
          </w:tcPr>
          <w:p>
            <w:pPr>
              <w:jc w:val="right"/>
              <w:ind w:right="520"/>
              <w:spacing w:after="0"/>
              <w:rPr>
                <w:sz w:val="20"/>
                <w:szCs w:val="20"/>
                <w:color w:val="auto"/>
              </w:rPr>
            </w:pPr>
            <w:r>
              <w:rPr>
                <w:rFonts w:ascii="Arial" w:cs="Arial" w:eastAsia="Arial" w:hAnsi="Arial"/>
                <w:sz w:val="14"/>
                <w:szCs w:val="14"/>
                <w:b w:val="1"/>
                <w:bCs w:val="1"/>
                <w:color w:val="auto"/>
              </w:rPr>
              <w:t>RMB</w:t>
            </w:r>
          </w:p>
        </w:tc>
        <w:tc>
          <w:tcPr>
            <w:tcW w:w="110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US$</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income (loss)</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1,568,492,735</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124,127,040</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19,478,244</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3,373,420,061</w:t>
            </w: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(8,544,352)</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b w:val="1"/>
                <w:bCs w:val="1"/>
                <w:color w:val="auto"/>
              </w:rPr>
              <w:t>(1,340,794)</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b w:val="1"/>
                <w:bCs w:val="1"/>
                <w:color w:val="auto"/>
              </w:rPr>
              <w:t>Add: Share-based compensation expenses</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19,486,068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23,190,482</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3,639,093</w:t>
            </w:r>
          </w:p>
        </w:tc>
        <w:tc>
          <w:tcPr>
            <w:tcW w:w="13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78,754,828</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87,634,835</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13,751,818</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ind w:left="360"/>
              <w:spacing w:after="0"/>
              <w:rPr>
                <w:sz w:val="20"/>
                <w:szCs w:val="20"/>
                <w:color w:val="auto"/>
              </w:rPr>
            </w:pPr>
            <w:r>
              <w:rPr>
                <w:rFonts w:ascii="Arial" w:cs="Arial" w:eastAsia="Arial" w:hAnsi="Arial"/>
                <w:sz w:val="18"/>
                <w:szCs w:val="18"/>
                <w:b w:val="1"/>
                <w:bCs w:val="1"/>
                <w:color w:val="auto"/>
              </w:rPr>
              <w:t>Cost of revenue</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645,296</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1,959,861</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307,545</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3,075,317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4,927,484</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773,230</w:t>
            </w:r>
          </w:p>
        </w:tc>
        <w:tc>
          <w:tcPr>
            <w:tcW w:w="0" w:type="dxa"/>
            <w:vAlign w:val="bottom"/>
          </w:tcPr>
          <w:p>
            <w:pPr>
              <w:spacing w:after="0"/>
              <w:rPr>
                <w:sz w:val="1"/>
                <w:szCs w:val="1"/>
                <w:color w:val="auto"/>
              </w:rPr>
            </w:pPr>
          </w:p>
        </w:tc>
      </w:tr>
      <w:tr>
        <w:trPr>
          <w:trHeight w:val="216"/>
        </w:trPr>
        <w:tc>
          <w:tcPr>
            <w:tcW w:w="3840" w:type="dxa"/>
            <w:vAlign w:val="bottom"/>
          </w:tcPr>
          <w:p>
            <w:pPr>
              <w:ind w:left="360"/>
              <w:spacing w:after="0"/>
              <w:rPr>
                <w:sz w:val="20"/>
                <w:szCs w:val="20"/>
                <w:color w:val="auto"/>
              </w:rPr>
            </w:pPr>
            <w:r>
              <w:rPr>
                <w:rFonts w:ascii="Arial" w:cs="Arial" w:eastAsia="Arial" w:hAnsi="Arial"/>
                <w:sz w:val="18"/>
                <w:szCs w:val="18"/>
                <w:b w:val="1"/>
                <w:bCs w:val="1"/>
                <w:color w:val="auto"/>
              </w:rPr>
              <w:t>Sales and marketing</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3,379,241</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3,740,843</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587,020</w:t>
            </w:r>
          </w:p>
        </w:tc>
        <w:tc>
          <w:tcPr>
            <w:tcW w:w="13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16,003,486</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15,311,101</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2,402,646</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ind w:left="360"/>
              <w:spacing w:after="0"/>
              <w:rPr>
                <w:sz w:val="20"/>
                <w:szCs w:val="20"/>
                <w:color w:val="auto"/>
              </w:rPr>
            </w:pPr>
            <w:r>
              <w:rPr>
                <w:rFonts w:ascii="Arial" w:cs="Arial" w:eastAsia="Arial" w:hAnsi="Arial"/>
                <w:sz w:val="18"/>
                <w:szCs w:val="18"/>
                <w:b w:val="1"/>
                <w:bCs w:val="1"/>
                <w:color w:val="auto"/>
              </w:rPr>
              <w:t>General and administrative</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14,458,117</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16,147,170</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2,533,844</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55,590,630</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63,035,444</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9,891,636</w:t>
            </w:r>
          </w:p>
        </w:tc>
        <w:tc>
          <w:tcPr>
            <w:tcW w:w="0" w:type="dxa"/>
            <w:vAlign w:val="bottom"/>
          </w:tcPr>
          <w:p>
            <w:pPr>
              <w:spacing w:after="0"/>
              <w:rPr>
                <w:sz w:val="1"/>
                <w:szCs w:val="1"/>
                <w:color w:val="auto"/>
              </w:rPr>
            </w:pPr>
          </w:p>
        </w:tc>
      </w:tr>
      <w:tr>
        <w:trPr>
          <w:trHeight w:val="216"/>
        </w:trPr>
        <w:tc>
          <w:tcPr>
            <w:tcW w:w="3840" w:type="dxa"/>
            <w:vAlign w:val="bottom"/>
          </w:tcPr>
          <w:p>
            <w:pPr>
              <w:ind w:left="360"/>
              <w:spacing w:after="0"/>
              <w:rPr>
                <w:sz w:val="20"/>
                <w:szCs w:val="20"/>
                <w:color w:val="auto"/>
              </w:rPr>
            </w:pPr>
            <w:r>
              <w:rPr>
                <w:rFonts w:ascii="Arial" w:cs="Arial" w:eastAsia="Arial" w:hAnsi="Arial"/>
                <w:sz w:val="18"/>
                <w:szCs w:val="18"/>
                <w:b w:val="1"/>
                <w:bCs w:val="1"/>
                <w:color w:val="auto"/>
              </w:rPr>
              <w:t>Research and development</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1,003,414</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1,342,608</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210,684</w:t>
            </w:r>
          </w:p>
        </w:tc>
        <w:tc>
          <w:tcPr>
            <w:tcW w:w="13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4,085,395</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4,360,806</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684,306</w:t>
            </w:r>
          </w:p>
        </w:tc>
        <w:tc>
          <w:tcPr>
            <w:tcW w:w="0" w:type="dxa"/>
            <w:vAlign w:val="bottom"/>
          </w:tcPr>
          <w:p>
            <w:pPr>
              <w:spacing w:after="0"/>
              <w:rPr>
                <w:sz w:val="1"/>
                <w:szCs w:val="1"/>
                <w:color w:val="auto"/>
              </w:rPr>
            </w:pPr>
          </w:p>
        </w:tc>
      </w:tr>
      <w:tr>
        <w:trPr>
          <w:trHeight w:val="27"/>
        </w:trPr>
        <w:tc>
          <w:tcPr>
            <w:tcW w:w="3840" w:type="dxa"/>
            <w:vAlign w:val="bottom"/>
          </w:tcPr>
          <w:p>
            <w:pPr>
              <w:spacing w:after="0"/>
              <w:rPr>
                <w:sz w:val="2"/>
                <w:szCs w:val="2"/>
                <w:color w:val="auto"/>
              </w:rPr>
            </w:pPr>
          </w:p>
        </w:tc>
        <w:tc>
          <w:tcPr>
            <w:tcW w:w="116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1180" w:type="dxa"/>
            <w:vAlign w:val="bottom"/>
            <w:shd w:val="clear" w:color="auto" w:fill="000000"/>
          </w:tcPr>
          <w:p>
            <w:pPr>
              <w:spacing w:after="0"/>
              <w:rPr>
                <w:sz w:val="2"/>
                <w:szCs w:val="2"/>
                <w:color w:val="auto"/>
              </w:rPr>
            </w:pPr>
          </w:p>
        </w:tc>
        <w:tc>
          <w:tcPr>
            <w:tcW w:w="160" w:type="dxa"/>
            <w:vAlign w:val="bottom"/>
          </w:tcPr>
          <w:p>
            <w:pPr>
              <w:spacing w:after="0"/>
              <w:rPr>
                <w:sz w:val="2"/>
                <w:szCs w:val="2"/>
                <w:color w:val="auto"/>
              </w:rPr>
            </w:pPr>
          </w:p>
        </w:tc>
        <w:tc>
          <w:tcPr>
            <w:tcW w:w="960" w:type="dxa"/>
            <w:vAlign w:val="bottom"/>
            <w:shd w:val="clear" w:color="auto" w:fill="000000"/>
          </w:tcPr>
          <w:p>
            <w:pPr>
              <w:spacing w:after="0"/>
              <w:rPr>
                <w:sz w:val="2"/>
                <w:szCs w:val="2"/>
                <w:color w:val="auto"/>
              </w:rPr>
            </w:pPr>
          </w:p>
        </w:tc>
        <w:tc>
          <w:tcPr>
            <w:tcW w:w="220" w:type="dxa"/>
            <w:vAlign w:val="bottom"/>
          </w:tcPr>
          <w:p>
            <w:pPr>
              <w:spacing w:after="0"/>
              <w:rPr>
                <w:sz w:val="2"/>
                <w:szCs w:val="2"/>
                <w:color w:val="auto"/>
              </w:rPr>
            </w:pPr>
          </w:p>
        </w:tc>
        <w:tc>
          <w:tcPr>
            <w:tcW w:w="980" w:type="dxa"/>
            <w:vAlign w:val="bottom"/>
            <w:shd w:val="clear" w:color="auto" w:fill="000000"/>
          </w:tcPr>
          <w:p>
            <w:pPr>
              <w:spacing w:after="0"/>
              <w:rPr>
                <w:sz w:val="2"/>
                <w:szCs w:val="2"/>
                <w:color w:val="auto"/>
              </w:rPr>
            </w:pPr>
          </w:p>
        </w:tc>
        <w:tc>
          <w:tcPr>
            <w:tcW w:w="120" w:type="dxa"/>
            <w:vAlign w:val="bottom"/>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Non-GAAP adjusted net income</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1,587,978,803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147,317,522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23,117,337</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3,452,174,889</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79,090,483</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12,411,024</w:t>
            </w:r>
          </w:p>
        </w:tc>
        <w:tc>
          <w:tcPr>
            <w:tcW w:w="0" w:type="dxa"/>
            <w:vAlign w:val="bottom"/>
          </w:tcPr>
          <w:p>
            <w:pPr>
              <w:spacing w:after="0"/>
              <w:rPr>
                <w:sz w:val="1"/>
                <w:szCs w:val="1"/>
                <w:color w:val="auto"/>
              </w:rPr>
            </w:pPr>
          </w:p>
        </w:tc>
      </w:tr>
      <w:tr>
        <w:trPr>
          <w:trHeight w:val="20"/>
        </w:trPr>
        <w:tc>
          <w:tcPr>
            <w:tcW w:w="3840" w:type="dxa"/>
            <w:vAlign w:val="bottom"/>
            <w:vMerge w:val="restart"/>
          </w:tcPr>
          <w:p>
            <w:pPr>
              <w:spacing w:after="0"/>
              <w:rPr>
                <w:sz w:val="20"/>
                <w:szCs w:val="20"/>
                <w:color w:val="auto"/>
              </w:rPr>
            </w:pPr>
            <w:r>
              <w:rPr>
                <w:rFonts w:ascii="Arial" w:cs="Arial" w:eastAsia="Arial" w:hAnsi="Arial"/>
                <w:sz w:val="18"/>
                <w:szCs w:val="18"/>
                <w:b w:val="1"/>
                <w:bCs w:val="1"/>
                <w:color w:val="auto"/>
                <w:w w:val="92"/>
              </w:rPr>
              <w:t>Less: Net income attributable to non-controlling</w:t>
            </w: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2"/>
        </w:trPr>
        <w:tc>
          <w:tcPr>
            <w:tcW w:w="3840" w:type="dxa"/>
            <w:vAlign w:val="bottom"/>
            <w:vMerge w:val="continue"/>
          </w:tcPr>
          <w:p>
            <w:pPr>
              <w:spacing w:after="0"/>
              <w:rPr>
                <w:sz w:val="16"/>
                <w:szCs w:val="16"/>
                <w:color w:val="auto"/>
              </w:rPr>
            </w:pPr>
          </w:p>
        </w:tc>
        <w:tc>
          <w:tcPr>
            <w:tcW w:w="11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840" w:type="dxa"/>
            <w:vAlign w:val="bottom"/>
          </w:tcPr>
          <w:p>
            <w:pPr>
              <w:ind w:left="180"/>
              <w:spacing w:after="0"/>
              <w:rPr>
                <w:sz w:val="20"/>
                <w:szCs w:val="20"/>
                <w:color w:val="auto"/>
              </w:rPr>
            </w:pPr>
            <w:r>
              <w:rPr>
                <w:rFonts w:ascii="Arial" w:cs="Arial" w:eastAsia="Arial" w:hAnsi="Arial"/>
                <w:sz w:val="18"/>
                <w:szCs w:val="18"/>
                <w:b w:val="1"/>
                <w:bCs w:val="1"/>
                <w:color w:val="auto"/>
              </w:rPr>
              <w:t>interests</w:t>
            </w:r>
          </w:p>
        </w:tc>
        <w:tc>
          <w:tcPr>
            <w:tcW w:w="13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w:t>
            </w:r>
          </w:p>
        </w:tc>
        <w:tc>
          <w:tcPr>
            <w:tcW w:w="13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3,902,214</w:t>
            </w:r>
          </w:p>
        </w:tc>
        <w:tc>
          <w:tcPr>
            <w:tcW w:w="11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w:t>
            </w:r>
          </w:p>
        </w:tc>
        <w:tc>
          <w:tcPr>
            <w:tcW w:w="0" w:type="dxa"/>
            <w:vAlign w:val="bottom"/>
          </w:tcPr>
          <w:p>
            <w:pPr>
              <w:spacing w:after="0"/>
              <w:rPr>
                <w:sz w:val="1"/>
                <w:szCs w:val="1"/>
                <w:color w:val="auto"/>
              </w:rPr>
            </w:pPr>
          </w:p>
        </w:tc>
      </w:tr>
      <w:tr>
        <w:trPr>
          <w:trHeight w:val="198"/>
        </w:trPr>
        <w:tc>
          <w:tcPr>
            <w:tcW w:w="384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Net income attributable to Cango Inc.’s</w:t>
            </w:r>
          </w:p>
        </w:tc>
        <w:tc>
          <w:tcPr>
            <w:tcW w:w="11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84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shareholders</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9"/>
              </w:rPr>
              <w:t>1,587,978,803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rPr>
              <w:t>147,317,522</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23,117,337</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3,448,272,675</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79,090,483</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12,411,024</w:t>
            </w:r>
          </w:p>
        </w:tc>
        <w:tc>
          <w:tcPr>
            <w:tcW w:w="0" w:type="dxa"/>
            <w:vAlign w:val="bottom"/>
          </w:tcPr>
          <w:p>
            <w:pPr>
              <w:spacing w:after="0"/>
              <w:rPr>
                <w:sz w:val="1"/>
                <w:szCs w:val="1"/>
                <w:color w:val="auto"/>
              </w:rPr>
            </w:pPr>
          </w:p>
        </w:tc>
      </w:tr>
      <w:tr>
        <w:trPr>
          <w:trHeight w:val="20"/>
        </w:trPr>
        <w:tc>
          <w:tcPr>
            <w:tcW w:w="3840" w:type="dxa"/>
            <w:vAlign w:val="bottom"/>
            <w:vMerge w:val="restart"/>
          </w:tcPr>
          <w:p>
            <w:pPr>
              <w:spacing w:after="0"/>
              <w:rPr>
                <w:sz w:val="20"/>
                <w:szCs w:val="20"/>
                <w:color w:val="auto"/>
              </w:rPr>
            </w:pPr>
            <w:r>
              <w:rPr>
                <w:rFonts w:ascii="Arial" w:cs="Arial" w:eastAsia="Arial" w:hAnsi="Arial"/>
                <w:sz w:val="18"/>
                <w:szCs w:val="18"/>
                <w:b w:val="1"/>
                <w:bCs w:val="1"/>
                <w:color w:val="auto"/>
                <w:w w:val="95"/>
              </w:rPr>
              <w:t>Non-GAAP adjusted net income per ADS-basic</w:t>
            </w: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0"/>
        </w:trPr>
        <w:tc>
          <w:tcPr>
            <w:tcW w:w="3840" w:type="dxa"/>
            <w:vAlign w:val="bottom"/>
            <w:vMerge w:val="continue"/>
          </w:tcPr>
          <w:p>
            <w:pPr>
              <w:spacing w:after="0"/>
              <w:rPr>
                <w:sz w:val="18"/>
                <w:szCs w:val="18"/>
                <w:color w:val="auto"/>
              </w:rPr>
            </w:pPr>
          </w:p>
        </w:tc>
        <w:tc>
          <w:tcPr>
            <w:tcW w:w="1160" w:type="dxa"/>
            <w:vAlign w:val="bottom"/>
          </w:tcPr>
          <w:p>
            <w:pPr>
              <w:jc w:val="right"/>
              <w:spacing w:after="0"/>
              <w:rPr>
                <w:sz w:val="20"/>
                <w:szCs w:val="20"/>
                <w:color w:val="auto"/>
              </w:rPr>
            </w:pPr>
            <w:r>
              <w:rPr>
                <w:rFonts w:ascii="Arial" w:cs="Arial" w:eastAsia="Arial" w:hAnsi="Arial"/>
                <w:sz w:val="18"/>
                <w:szCs w:val="18"/>
                <w:b w:val="1"/>
                <w:bCs w:val="1"/>
                <w:color w:val="auto"/>
              </w:rPr>
              <w:t>10.61</w:t>
            </w:r>
          </w:p>
        </w:tc>
        <w:tc>
          <w:tcPr>
            <w:tcW w:w="1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1.04</w:t>
            </w:r>
          </w:p>
        </w:tc>
        <w:tc>
          <w:tcPr>
            <w:tcW w:w="1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0.16</w:t>
            </w:r>
          </w:p>
        </w:tc>
        <w:tc>
          <w:tcPr>
            <w:tcW w:w="16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22.95</w:t>
            </w:r>
          </w:p>
        </w:tc>
        <w:tc>
          <w:tcPr>
            <w:tcW w:w="16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b w:val="1"/>
                <w:bCs w:val="1"/>
                <w:color w:val="auto"/>
              </w:rPr>
              <w:t>0.55</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0.09</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8"/>
        </w:trPr>
        <w:tc>
          <w:tcPr>
            <w:tcW w:w="384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rPr>
              <w:t>Non-GAAP adjusted net income per</w:t>
            </w:r>
          </w:p>
        </w:tc>
        <w:tc>
          <w:tcPr>
            <w:tcW w:w="11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3840" w:type="dxa"/>
            <w:vAlign w:val="bottom"/>
            <w:shd w:val="clear" w:color="auto" w:fill="CCEEFF"/>
          </w:tcPr>
          <w:p>
            <w:pPr>
              <w:ind w:left="180"/>
              <w:spacing w:after="0"/>
              <w:rPr>
                <w:sz w:val="20"/>
                <w:szCs w:val="20"/>
                <w:color w:val="auto"/>
              </w:rPr>
            </w:pPr>
            <w:r>
              <w:rPr>
                <w:rFonts w:ascii="Arial" w:cs="Arial" w:eastAsia="Arial" w:hAnsi="Arial"/>
                <w:sz w:val="18"/>
                <w:szCs w:val="18"/>
                <w:b w:val="1"/>
                <w:bCs w:val="1"/>
                <w:color w:val="auto"/>
              </w:rPr>
              <w:t>ADS-diluted</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10.53</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1.04</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0.16</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rPr>
              <w:t>22.69</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0.54</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0.08</w:t>
            </w:r>
          </w:p>
        </w:tc>
        <w:tc>
          <w:tcPr>
            <w:tcW w:w="0" w:type="dxa"/>
            <w:vAlign w:val="bottom"/>
          </w:tcPr>
          <w:p>
            <w:pPr>
              <w:spacing w:after="0"/>
              <w:rPr>
                <w:sz w:val="1"/>
                <w:szCs w:val="1"/>
                <w:color w:val="auto"/>
              </w:rPr>
            </w:pPr>
          </w:p>
        </w:tc>
      </w:tr>
      <w:tr>
        <w:trPr>
          <w:trHeight w:val="216"/>
        </w:trPr>
        <w:tc>
          <w:tcPr>
            <w:tcW w:w="3840" w:type="dxa"/>
            <w:vAlign w:val="bottom"/>
          </w:tcPr>
          <w:p>
            <w:pPr>
              <w:spacing w:after="0"/>
              <w:rPr>
                <w:sz w:val="20"/>
                <w:szCs w:val="20"/>
                <w:color w:val="auto"/>
              </w:rPr>
            </w:pPr>
            <w:r>
              <w:rPr>
                <w:rFonts w:ascii="Arial" w:cs="Arial" w:eastAsia="Arial" w:hAnsi="Arial"/>
                <w:sz w:val="18"/>
                <w:szCs w:val="18"/>
                <w:b w:val="1"/>
                <w:bCs w:val="1"/>
                <w:color w:val="auto"/>
              </w:rPr>
              <w:t>Weighted average ADS outstanding—basic</w:t>
            </w:r>
          </w:p>
        </w:tc>
        <w:tc>
          <w:tcPr>
            <w:tcW w:w="13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149,696,285</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141,358,210</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w w:val="93"/>
              </w:rPr>
              <w:t>141,358,210</w:t>
            </w:r>
          </w:p>
        </w:tc>
        <w:tc>
          <w:tcPr>
            <w:tcW w:w="1340" w:type="dxa"/>
            <w:vAlign w:val="bottom"/>
            <w:gridSpan w:val="2"/>
          </w:tcPr>
          <w:p>
            <w:pPr>
              <w:jc w:val="right"/>
              <w:ind w:right="160"/>
              <w:spacing w:after="0"/>
              <w:rPr>
                <w:sz w:val="20"/>
                <w:szCs w:val="20"/>
                <w:color w:val="auto"/>
              </w:rPr>
            </w:pPr>
            <w:r>
              <w:rPr>
                <w:rFonts w:ascii="Arial" w:cs="Arial" w:eastAsia="Arial" w:hAnsi="Arial"/>
                <w:sz w:val="18"/>
                <w:szCs w:val="18"/>
                <w:b w:val="1"/>
                <w:bCs w:val="1"/>
                <w:color w:val="auto"/>
              </w:rPr>
              <w:t>150,242,378</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3"/>
              </w:rPr>
              <w:t>144,946,453</w:t>
            </w: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w w:val="95"/>
              </w:rPr>
              <w:t>144,946,453</w:t>
            </w:r>
          </w:p>
        </w:tc>
        <w:tc>
          <w:tcPr>
            <w:tcW w:w="0" w:type="dxa"/>
            <w:vAlign w:val="bottom"/>
          </w:tcPr>
          <w:p>
            <w:pPr>
              <w:spacing w:after="0"/>
              <w:rPr>
                <w:sz w:val="1"/>
                <w:szCs w:val="1"/>
                <w:color w:val="auto"/>
              </w:rPr>
            </w:pPr>
          </w:p>
        </w:tc>
      </w:tr>
      <w:tr>
        <w:trPr>
          <w:trHeight w:val="216"/>
        </w:trPr>
        <w:tc>
          <w:tcPr>
            <w:tcW w:w="38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9"/>
                <w:shd w:val="clear" w:color="auto" w:fill="CCEEFF"/>
              </w:rPr>
              <w:t>Weighted average ADS outstanding—diluted</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shd w:val="clear" w:color="auto" w:fill="CCEEFF"/>
              </w:rPr>
              <w:t>150,822,105</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shd w:val="clear" w:color="auto" w:fill="CCEEFF"/>
              </w:rPr>
              <w:t>142,105,618</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w w:val="93"/>
                <w:shd w:val="clear" w:color="auto" w:fill="CCEEFF"/>
              </w:rPr>
              <w:t>142,105,618</w:t>
            </w:r>
          </w:p>
        </w:tc>
        <w:tc>
          <w:tcPr>
            <w:tcW w:w="13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b w:val="1"/>
                <w:bCs w:val="1"/>
                <w:color w:val="auto"/>
                <w:shd w:val="clear" w:color="auto" w:fill="CCEEFF"/>
              </w:rPr>
              <w:t>151,955,546</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w w:val="93"/>
                <w:shd w:val="clear" w:color="auto" w:fill="CCEEFF"/>
              </w:rPr>
              <w:t>146,867,997</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w w:val="95"/>
                <w:shd w:val="clear" w:color="auto" w:fill="CCEEFF"/>
              </w:rPr>
              <w:t>146,867,997</w:t>
            </w:r>
          </w:p>
        </w:tc>
        <w:tc>
          <w:tcPr>
            <w:tcW w:w="0" w:type="dxa"/>
            <w:vAlign w:val="bottom"/>
          </w:tcPr>
          <w:p>
            <w:pPr>
              <w:spacing w:after="0"/>
              <w:rPr>
                <w:sz w:val="1"/>
                <w:szCs w:val="1"/>
                <w:color w:val="auto"/>
              </w:rPr>
            </w:pPr>
          </w:p>
        </w:tc>
      </w:tr>
    </w:tbl>
    <w:p>
      <w:pPr>
        <w:spacing w:after="0" w:line="1" w:lineRule="exact"/>
        <w:rPr>
          <w:sz w:val="20"/>
          <w:szCs w:val="20"/>
          <w:color w:val="auto"/>
        </w:rPr>
      </w:pPr>
    </w:p>
    <w:sectPr>
      <w:pgSz w:w="11900" w:h="16838" w:orient="portrait"/>
      <w:cols w:equalWidth="0" w:num="1">
        <w:col w:w="11020"/>
      </w:cols>
      <w:pgMar w:left="440" w:top="270" w:right="4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19495CFF"/>
    <w:multiLevelType w:val="hybridMultilevel"/>
    <w:lvl w:ilvl="0">
      <w:lvlJc w:val="left"/>
      <w:lvlText w:val="•"/>
      <w:numFmt w:val="bullet"/>
      <w:start w:val="1"/>
    </w:lvl>
  </w:abstractNum>
  <w:abstractNum w:abstractNumId="1">
    <w:nsid w:val="2AE8944A"/>
    <w:multiLevelType w:val="hybridMultilevel"/>
    <w:lvl w:ilvl="0">
      <w:lvlJc w:val="left"/>
      <w:lvlText w:val="•"/>
      <w:numFmt w:val="bullet"/>
      <w:start w:val="1"/>
    </w:lvl>
  </w:abstractNum>
  <w:abstractNum w:abstractNumId="2">
    <w:nsid w:val="625558EC"/>
    <w:multiLevelType w:val="hybridMultilevel"/>
    <w:lvl w:ilvl="0">
      <w:lvlJc w:val="left"/>
      <w:lvlText w:val="•"/>
      <w:numFmt w:val="bullet"/>
      <w:start w:val="1"/>
    </w:lvl>
  </w:abstractNum>
  <w:abstractNum w:abstractNumId="3">
    <w:nsid w:val="238E1F29"/>
    <w:multiLevelType w:val="hybridMultilevel"/>
    <w:lvl w:ilvl="0">
      <w:lvlJc w:val="left"/>
      <w:lvlText w:val="•"/>
      <w:numFmt w:val="bullet"/>
      <w:start w:val="1"/>
    </w:lvl>
  </w:abstractNum>
  <w:abstractNum w:abstractNumId="4">
    <w:nsid w:val="46E87CC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2022-03-14T05:17:50Z</dcterms:created>
  <dcterms:modified xsi:type="dcterms:W3CDTF">2022-03-14T05:17:50Z</dcterms:modified>
</cp:coreProperties>
</file>